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855A1" w:rsidRDefault="00D855A1">
            <w:pPr>
              <w:jc w:val="both"/>
              <w:rPr>
                <w:rFonts w:ascii="Arial (W1)" w:hAnsi="Arial (W1)"/>
                <w:b/>
                <w:bCs/>
                <w:sz w:val="26"/>
                <w:szCs w:val="26"/>
              </w:rPr>
            </w:pPr>
            <w:r w:rsidRPr="00D855A1">
              <w:rPr>
                <w:rFonts w:ascii="Arial (W1)" w:hAnsi="Arial (W1)" w:hint="cs"/>
                <w:b/>
                <w:bCs/>
                <w:sz w:val="26"/>
                <w:szCs w:val="26"/>
                <w:rtl/>
              </w:rPr>
              <w:t>לפני</w:t>
            </w:r>
          </w:p>
        </w:tc>
        <w:tc>
          <w:tcPr>
            <w:tcW w:w="8077" w:type="dxa"/>
            <w:gridSpan w:val="2"/>
            <w:hideMark/>
          </w:tcPr>
          <w:p w:rsidR="006816EC" w:rsidRDefault="0076736C" w:rsidP="0076736C">
            <w:pPr>
              <w:rPr>
                <w:rtl/>
              </w:rPr>
            </w:pPr>
            <w:r>
              <w:rPr>
                <w:rFonts w:ascii="David" w:eastAsia="Calibri" w:hAnsi="David"/>
                <w:b/>
                <w:bCs/>
                <w:noProof w:val="0"/>
                <w:sz w:val="26"/>
                <w:szCs w:val="26"/>
                <w:rtl/>
              </w:rPr>
              <w:t>כבוד השופט טל פפרני,  סגן הנשיאה</w:t>
            </w:r>
          </w:p>
          <w:p w:rsidR="000F5E16" w:rsidRDefault="000F5E16" w:rsidP="0076736C">
            <w:pPr>
              <w:rPr>
                <w:rtl/>
              </w:rPr>
            </w:pPr>
          </w:p>
          <w:p w:rsidR="000F5E16" w:rsidRPr="0076736C" w:rsidRDefault="000F5E16" w:rsidP="0076736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626C6" w:rsidRDefault="000F5E16" w:rsidP="000F5E16">
                <w:pPr>
                  <w:rPr>
                    <w:rFonts w:ascii="Arial (W1)" w:hAnsi="Arial (W1)"/>
                    <w:b/>
                    <w:bCs/>
                    <w:noProof w:val="0"/>
                    <w:sz w:val="28"/>
                    <w:szCs w:val="28"/>
                  </w:rPr>
                </w:pPr>
                <w:r>
                  <w:rPr>
                    <w:rFonts w:hint="cs"/>
                    <w:b/>
                    <w:bCs/>
                    <w:noProof w:val="0"/>
                    <w:sz w:val="28"/>
                    <w:rtl/>
                  </w:rPr>
                  <w:t>ה</w:t>
                </w:r>
                <w:r w:rsidR="0078256A">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0F5E16" w:rsidRDefault="00E15FFA" w:rsidP="00A36FE2">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A36FE2">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A36FE2" w:rsidRPr="00A36FE2">
              <w:rPr>
                <w:rFonts w:ascii="David" w:hAnsi="David"/>
                <w:b/>
                <w:bCs/>
                <w:noProof w:val="0"/>
              </w:rPr>
              <w:t>XXXXXXXXX</w:t>
            </w:r>
          </w:p>
          <w:p w:rsidR="006816EC" w:rsidRPr="000F5E16" w:rsidRDefault="00E44DDF">
            <w:pPr>
              <w:rPr>
                <w:rFonts w:ascii="Arial (W1)" w:hAnsi="Arial (W1)"/>
                <w:b/>
                <w:bCs/>
                <w:noProof w:val="0"/>
              </w:rPr>
            </w:pPr>
            <w:r w:rsidRPr="000F5E16">
              <w:rPr>
                <w:rFonts w:ascii="Arial" w:hAnsi="Arial"/>
                <w:b/>
                <w:bCs/>
                <w:noProof w:val="0"/>
                <w:rtl/>
              </w:rPr>
              <w:t>ע"י ב"כ עוה"ד</w:t>
            </w:r>
            <w:r w:rsidR="000F5E16" w:rsidRPr="000F5E16">
              <w:rPr>
                <w:rFonts w:ascii="Arial (W1)" w:hAnsi="Arial (W1)" w:hint="cs"/>
                <w:b/>
                <w:bCs/>
                <w:noProof w:val="0"/>
                <w:rtl/>
              </w:rPr>
              <w:t xml:space="preserve"> ענבל גרשון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15FFA" w:rsidP="000F5E16">
            <w:pPr>
              <w:rPr>
                <w:rFonts w:ascii="Arial (W1)" w:hAnsi="Arial (W1)"/>
                <w:b/>
                <w:bCs/>
                <w:noProof w:val="0"/>
                <w:sz w:val="28"/>
                <w:szCs w:val="28"/>
              </w:rPr>
            </w:pPr>
            <w:sdt>
              <w:sdtPr>
                <w:rPr>
                  <w:rFonts w:hint="cs"/>
                  <w:rtl/>
                </w:rPr>
                <w:alias w:val="1184"/>
                <w:tag w:val="1184"/>
                <w:id w:val="-910234160"/>
                <w:text w:multiLine="1"/>
              </w:sdtPr>
              <w:sdtEndPr/>
              <w:sdtContent>
                <w:r w:rsidR="000F5E16">
                  <w:rPr>
                    <w:rFonts w:hint="cs"/>
                    <w:b/>
                    <w:bCs/>
                    <w:noProof w:val="0"/>
                    <w:sz w:val="28"/>
                    <w:rtl/>
                  </w:rPr>
                  <w:t>ה</w:t>
                </w:r>
                <w:r w:rsidR="00D855A1">
                  <w:rPr>
                    <w:rFonts w:hint="cs"/>
                    <w:b/>
                    <w:bCs/>
                    <w:noProof w:val="0"/>
                    <w:sz w:val="28"/>
                    <w:rtl/>
                  </w:rPr>
                  <w:t>נתבע</w:t>
                </w:r>
                <w:r w:rsidR="000F5E16">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0F5E16" w:rsidRPr="00A36FE2" w:rsidRDefault="00E15FFA" w:rsidP="00A36FE2">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A36FE2">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A36FE2" w:rsidRPr="00A36FE2">
              <w:rPr>
                <w:rFonts w:ascii="David" w:hAnsi="David"/>
                <w:b/>
                <w:bCs/>
                <w:noProof w:val="0"/>
              </w:rPr>
              <w:t>XXXXXXXXX</w:t>
            </w:r>
          </w:p>
          <w:p w:rsidR="006816EC" w:rsidRPr="000F5E16" w:rsidRDefault="00E44DDF">
            <w:pPr>
              <w:rPr>
                <w:rFonts w:ascii="Arial (W1)" w:hAnsi="Arial (W1)"/>
                <w:b/>
                <w:bCs/>
                <w:noProof w:val="0"/>
              </w:rPr>
            </w:pPr>
            <w:r w:rsidRPr="000F5E16">
              <w:rPr>
                <w:rFonts w:ascii="Arial" w:hAnsi="Arial"/>
                <w:b/>
                <w:bCs/>
                <w:noProof w:val="0"/>
                <w:rtl/>
              </w:rPr>
              <w:t>ע"י ב"כ עוה"ד</w:t>
            </w:r>
            <w:r w:rsidR="000F5E16" w:rsidRPr="000F5E16">
              <w:rPr>
                <w:rFonts w:ascii="Arial (W1)" w:hAnsi="Arial (W1)" w:hint="cs"/>
                <w:b/>
                <w:bCs/>
                <w:noProof w:val="0"/>
                <w:rtl/>
              </w:rPr>
              <w:t xml:space="preserve"> לימור פסטרנאק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8256A" w:rsidRPr="0078256A" w:rsidRDefault="0078256A" w:rsidP="0078256A">
      <w:pPr>
        <w:spacing w:before="240" w:after="240" w:line="360" w:lineRule="auto"/>
        <w:jc w:val="both"/>
        <w:rPr>
          <w:rFonts w:ascii="David" w:eastAsia="Calibri" w:hAnsi="David"/>
          <w:b/>
          <w:bCs/>
          <w:noProof w:val="0"/>
          <w:u w:val="single"/>
          <w:rtl/>
        </w:rPr>
      </w:pPr>
      <w:r w:rsidRPr="0078256A">
        <w:rPr>
          <w:rFonts w:ascii="David" w:eastAsia="Calibri" w:hAnsi="David"/>
          <w:b/>
          <w:bCs/>
          <w:noProof w:val="0"/>
          <w:u w:val="single"/>
          <w:rtl/>
        </w:rPr>
        <w:t>רקע עובדתי</w:t>
      </w:r>
    </w:p>
    <w:p w:rsidR="0078256A" w:rsidRPr="0078256A" w:rsidRDefault="0078256A" w:rsidP="000F5E16">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עניינו של פסק דין זה</w:t>
      </w:r>
      <w:r w:rsidR="000F5E16">
        <w:rPr>
          <w:rFonts w:ascii="David" w:eastAsia="Calibri" w:hAnsi="David" w:hint="cs"/>
          <w:noProof w:val="0"/>
          <w:rtl/>
        </w:rPr>
        <w:t xml:space="preserve">, </w:t>
      </w:r>
      <w:r w:rsidRPr="0078256A">
        <w:rPr>
          <w:rFonts w:ascii="David" w:eastAsia="Calibri" w:hAnsi="David"/>
          <w:noProof w:val="0"/>
          <w:rtl/>
        </w:rPr>
        <w:t>תביעה להפחתת דמי המזונות אשר נקבעו בפסק דין שניתן ביום 2.6.2016 בהעדר הגנה בתמ"ש 26713-03-16</w:t>
      </w:r>
      <w:r w:rsidR="000F5E16">
        <w:rPr>
          <w:rFonts w:ascii="David" w:eastAsia="Calibri" w:hAnsi="David" w:hint="cs"/>
          <w:noProof w:val="0"/>
          <w:rtl/>
        </w:rPr>
        <w:t xml:space="preserve">.  </w:t>
      </w:r>
      <w:r w:rsidRPr="0078256A">
        <w:rPr>
          <w:rFonts w:ascii="David" w:eastAsia="Calibri" w:hAnsi="David"/>
          <w:noProof w:val="0"/>
          <w:rtl/>
        </w:rPr>
        <w:t xml:space="preserve"> בפסק דין נקבע כי התובע יישא בדמי המזונות של הקטינות בסך של 1,800 לחודש  כל אחת  בתוספת מחציות רפואיות וחינוך. לאחר פסק דין התובע הגיש בקשה לביטול פסק הדין, אולם בשל אי התייצבות</w:t>
      </w:r>
      <w:r w:rsidR="000F5E16">
        <w:rPr>
          <w:rFonts w:ascii="David" w:eastAsia="Calibri" w:hAnsi="David" w:hint="cs"/>
          <w:noProof w:val="0"/>
          <w:rtl/>
        </w:rPr>
        <w:t>ו</w:t>
      </w:r>
      <w:r w:rsidRPr="0078256A">
        <w:rPr>
          <w:rFonts w:ascii="David" w:eastAsia="Calibri" w:hAnsi="David"/>
          <w:noProof w:val="0"/>
          <w:rtl/>
        </w:rPr>
        <w:t xml:space="preserve"> לדיון</w:t>
      </w:r>
      <w:r w:rsidR="000F5E16">
        <w:rPr>
          <w:rFonts w:ascii="David" w:eastAsia="Calibri" w:hAnsi="David" w:hint="cs"/>
          <w:noProof w:val="0"/>
          <w:rtl/>
        </w:rPr>
        <w:t xml:space="preserve">, </w:t>
      </w:r>
      <w:r w:rsidRPr="0078256A">
        <w:rPr>
          <w:rFonts w:ascii="David" w:eastAsia="Calibri" w:hAnsi="David"/>
          <w:noProof w:val="0"/>
          <w:rtl/>
        </w:rPr>
        <w:t>פסק הדין נותר על כנו.</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C20591">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 xml:space="preserve">הצדדים יהודים שנישאו כדמו"י ביום </w:t>
      </w:r>
      <w:r w:rsidR="00E66000">
        <w:rPr>
          <w:rFonts w:ascii="David" w:eastAsia="Calibri" w:hAnsi="David" w:hint="cs"/>
          <w:noProof w:val="0"/>
          <w:rtl/>
        </w:rPr>
        <w:t>..</w:t>
      </w:r>
      <w:r w:rsidRPr="0078256A">
        <w:rPr>
          <w:rFonts w:ascii="David" w:eastAsia="Calibri" w:hAnsi="David"/>
          <w:noProof w:val="0"/>
          <w:rtl/>
        </w:rPr>
        <w:t xml:space="preserve">. מנישואים אלו נולדו הקטינות נשוא התביעה (ילידות </w:t>
      </w:r>
      <w:r w:rsidR="00E66000">
        <w:rPr>
          <w:rFonts w:ascii="David" w:eastAsia="Calibri" w:hAnsi="David" w:hint="cs"/>
          <w:noProof w:val="0"/>
        </w:rPr>
        <w:t>XX.XX.XX</w:t>
      </w:r>
      <w:r w:rsidRPr="0078256A">
        <w:rPr>
          <w:rFonts w:ascii="David" w:eastAsia="Calibri" w:hAnsi="David"/>
          <w:noProof w:val="0"/>
          <w:rtl/>
        </w:rPr>
        <w:t xml:space="preserve"> ,</w:t>
      </w:r>
      <w:r w:rsidR="00E66000" w:rsidRPr="00E66000">
        <w:rPr>
          <w:rFonts w:ascii="David" w:eastAsia="Calibri" w:hAnsi="David" w:hint="cs"/>
          <w:noProof w:val="0"/>
        </w:rPr>
        <w:t xml:space="preserve"> </w:t>
      </w:r>
      <w:r w:rsidR="00E66000">
        <w:rPr>
          <w:rFonts w:ascii="David" w:eastAsia="Calibri" w:hAnsi="David" w:hint="cs"/>
          <w:noProof w:val="0"/>
        </w:rPr>
        <w:t>XX.XX.XX</w:t>
      </w:r>
      <w:r w:rsidRPr="0078256A">
        <w:rPr>
          <w:rFonts w:ascii="David" w:eastAsia="Calibri" w:hAnsi="David"/>
          <w:noProof w:val="0"/>
          <w:rtl/>
        </w:rPr>
        <w:t xml:space="preserve"> ,</w:t>
      </w:r>
      <w:r w:rsidR="00E66000">
        <w:rPr>
          <w:rFonts w:ascii="David" w:eastAsia="Calibri" w:hAnsi="David" w:hint="cs"/>
          <w:noProof w:val="0"/>
        </w:rPr>
        <w:t>XX.XX.XX</w:t>
      </w:r>
      <w:r w:rsidRPr="0078256A">
        <w:rPr>
          <w:rFonts w:ascii="David" w:eastAsia="Calibri" w:hAnsi="David"/>
          <w:noProof w:val="0"/>
          <w:rtl/>
        </w:rPr>
        <w:t xml:space="preserve">) להלן " </w:t>
      </w:r>
      <w:r w:rsidRPr="0078256A">
        <w:rPr>
          <w:rFonts w:ascii="David" w:eastAsia="Calibri" w:hAnsi="David"/>
          <w:b/>
          <w:bCs/>
          <w:noProof w:val="0"/>
          <w:rtl/>
        </w:rPr>
        <w:t>הקטינות</w:t>
      </w:r>
      <w:r w:rsidRPr="0078256A">
        <w:rPr>
          <w:rFonts w:ascii="David" w:eastAsia="Calibri" w:hAnsi="David"/>
          <w:noProof w:val="0"/>
          <w:rtl/>
        </w:rPr>
        <w:t xml:space="preserve">" . נישואי הצדדים עלו על שרטון והם התגרשו ביום </w:t>
      </w:r>
      <w:r w:rsidR="00E66000">
        <w:rPr>
          <w:rFonts w:ascii="David" w:eastAsia="Calibri" w:hAnsi="David" w:hint="cs"/>
          <w:noProof w:val="0"/>
          <w:rtl/>
        </w:rPr>
        <w:t>...</w:t>
      </w:r>
      <w:r w:rsidRPr="0078256A">
        <w:rPr>
          <w:rFonts w:ascii="David" w:eastAsia="Calibri" w:hAnsi="David"/>
          <w:noProof w:val="0"/>
          <w:rtl/>
        </w:rPr>
        <w:t xml:space="preserve"> </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78256A">
      <w:pPr>
        <w:spacing w:before="240" w:after="240" w:line="360" w:lineRule="auto"/>
        <w:ind w:left="720"/>
        <w:contextualSpacing/>
        <w:jc w:val="both"/>
        <w:rPr>
          <w:rFonts w:ascii="David" w:eastAsia="Calibri" w:hAnsi="David"/>
          <w:noProof w:val="0"/>
          <w:rtl/>
        </w:rPr>
      </w:pPr>
    </w:p>
    <w:p w:rsidR="0078256A" w:rsidRPr="000F5E16" w:rsidRDefault="0078256A" w:rsidP="000F5E16">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בין הצדדים התנהלו הליכים רבים</w:t>
      </w:r>
      <w:r w:rsidR="000F5E16">
        <w:rPr>
          <w:rFonts w:ascii="David" w:eastAsia="Calibri" w:hAnsi="David" w:hint="cs"/>
          <w:noProof w:val="0"/>
          <w:rtl/>
        </w:rPr>
        <w:t xml:space="preserve">. </w:t>
      </w:r>
      <w:r w:rsidRPr="0078256A">
        <w:rPr>
          <w:rFonts w:ascii="David" w:eastAsia="Calibri" w:hAnsi="David"/>
          <w:noProof w:val="0"/>
          <w:rtl/>
        </w:rPr>
        <w:t xml:space="preserve"> בין היתר התנהלו תובענות בעניין מזונות הקטינות, משמורת</w:t>
      </w:r>
      <w:r w:rsidR="000F5E16">
        <w:rPr>
          <w:rFonts w:ascii="David" w:eastAsia="Calibri" w:hAnsi="David" w:hint="cs"/>
          <w:noProof w:val="0"/>
          <w:rtl/>
        </w:rPr>
        <w:t xml:space="preserve">, </w:t>
      </w:r>
      <w:r w:rsidRPr="0078256A">
        <w:rPr>
          <w:rFonts w:ascii="David" w:eastAsia="Calibri" w:hAnsi="David"/>
          <w:noProof w:val="0"/>
          <w:rtl/>
        </w:rPr>
        <w:t xml:space="preserve"> והסדרי </w:t>
      </w:r>
      <w:r w:rsidR="000F5E16">
        <w:rPr>
          <w:rFonts w:ascii="David" w:eastAsia="Calibri" w:hAnsi="David" w:hint="cs"/>
          <w:noProof w:val="0"/>
          <w:rtl/>
        </w:rPr>
        <w:t xml:space="preserve">שהות </w:t>
      </w:r>
      <w:r w:rsidRPr="0078256A">
        <w:rPr>
          <w:rFonts w:ascii="David" w:eastAsia="Calibri" w:hAnsi="David"/>
          <w:noProof w:val="0"/>
          <w:rtl/>
        </w:rPr>
        <w:t>בין הקטינות לבין התובע</w:t>
      </w:r>
      <w:r w:rsidR="000F5E16">
        <w:rPr>
          <w:rFonts w:ascii="David" w:eastAsia="Calibri" w:hAnsi="David" w:hint="cs"/>
          <w:noProof w:val="0"/>
          <w:rtl/>
        </w:rPr>
        <w:t xml:space="preserve">, </w:t>
      </w:r>
      <w:r w:rsidRPr="0078256A">
        <w:rPr>
          <w:rFonts w:ascii="David" w:eastAsia="Calibri" w:hAnsi="David"/>
          <w:noProof w:val="0"/>
          <w:rtl/>
        </w:rPr>
        <w:t xml:space="preserve"> וכן </w:t>
      </w:r>
      <w:r w:rsidR="000F5E16">
        <w:rPr>
          <w:rFonts w:ascii="David" w:eastAsia="Calibri" w:hAnsi="David" w:hint="cs"/>
          <w:noProof w:val="0"/>
          <w:rtl/>
        </w:rPr>
        <w:t>ב</w:t>
      </w:r>
      <w:r w:rsidRPr="0078256A">
        <w:rPr>
          <w:rFonts w:ascii="David" w:eastAsia="Calibri" w:hAnsi="David"/>
          <w:noProof w:val="0"/>
          <w:rtl/>
        </w:rPr>
        <w:t xml:space="preserve">ענייני </w:t>
      </w:r>
      <w:r w:rsidR="000F5E16">
        <w:rPr>
          <w:rFonts w:ascii="David" w:eastAsia="Calibri" w:hAnsi="David" w:hint="cs"/>
          <w:noProof w:val="0"/>
          <w:rtl/>
        </w:rPr>
        <w:t>ה</w:t>
      </w:r>
      <w:r w:rsidRPr="0078256A">
        <w:rPr>
          <w:rFonts w:ascii="David" w:eastAsia="Calibri" w:hAnsi="David"/>
          <w:noProof w:val="0"/>
          <w:rtl/>
        </w:rPr>
        <w:t xml:space="preserve">רכוש. ביום 9/7/17 ניתן פסק דין בהליכים אשר התנהלו בין הצדדים וזאת לנוכח אי התייצבותו של התובע לדיון </w:t>
      </w:r>
      <w:r w:rsidRPr="000F5E16">
        <w:rPr>
          <w:rFonts w:ascii="David" w:eastAsia="Calibri" w:hAnsi="David"/>
          <w:noProof w:val="0"/>
          <w:rtl/>
        </w:rPr>
        <w:t>התובע חויב בהוצאות לטובת המדינה בסך 7,500 ₪ .</w:t>
      </w:r>
    </w:p>
    <w:p w:rsidR="0078256A" w:rsidRPr="0078256A" w:rsidRDefault="0078256A" w:rsidP="0078256A">
      <w:pPr>
        <w:spacing w:before="240" w:after="240" w:line="360" w:lineRule="auto"/>
        <w:ind w:left="720"/>
        <w:contextualSpacing/>
        <w:jc w:val="both"/>
        <w:rPr>
          <w:rFonts w:ascii="David" w:eastAsia="Calibri" w:hAnsi="David"/>
          <w:noProof w:val="0"/>
        </w:rPr>
      </w:pPr>
    </w:p>
    <w:p w:rsidR="009A5776" w:rsidRDefault="0078256A" w:rsidP="009A5776">
      <w:pPr>
        <w:numPr>
          <w:ilvl w:val="0"/>
          <w:numId w:val="1"/>
        </w:numPr>
        <w:spacing w:before="240" w:after="240" w:line="360" w:lineRule="auto"/>
        <w:contextualSpacing/>
        <w:jc w:val="both"/>
        <w:rPr>
          <w:rFonts w:ascii="David" w:eastAsia="Calibri" w:hAnsi="David"/>
          <w:noProof w:val="0"/>
        </w:rPr>
      </w:pPr>
      <w:r w:rsidRPr="0078256A">
        <w:rPr>
          <w:rFonts w:ascii="David" w:eastAsia="Calibri" w:hAnsi="David"/>
          <w:noProof w:val="0"/>
          <w:rtl/>
        </w:rPr>
        <w:t xml:space="preserve">ביום 25/11/19 </w:t>
      </w:r>
      <w:r w:rsidR="000F5E16">
        <w:rPr>
          <w:rFonts w:ascii="David" w:eastAsia="Calibri" w:hAnsi="David" w:hint="cs"/>
          <w:noProof w:val="0"/>
          <w:rtl/>
        </w:rPr>
        <w:t xml:space="preserve">הגישה </w:t>
      </w:r>
      <w:r w:rsidRPr="0078256A">
        <w:rPr>
          <w:rFonts w:ascii="David" w:eastAsia="Calibri" w:hAnsi="David"/>
          <w:noProof w:val="0"/>
          <w:rtl/>
        </w:rPr>
        <w:t>הנתבעת תביעה לאפוטרופסות בלעדית</w:t>
      </w:r>
      <w:r w:rsidR="000F5E16">
        <w:rPr>
          <w:rFonts w:ascii="David" w:eastAsia="Calibri" w:hAnsi="David" w:hint="cs"/>
          <w:noProof w:val="0"/>
          <w:rtl/>
        </w:rPr>
        <w:t xml:space="preserve">.  </w:t>
      </w:r>
      <w:r w:rsidRPr="0078256A">
        <w:rPr>
          <w:rFonts w:ascii="David" w:eastAsia="Calibri" w:hAnsi="David"/>
          <w:noProof w:val="0"/>
          <w:rtl/>
        </w:rPr>
        <w:t>ביום 15.6.20 ניתן פסק דין בו נקבע כי האם תמונה לאפוטרופוסית הבלעדית על הקטינות</w:t>
      </w:r>
      <w:r w:rsidR="000F5E16">
        <w:rPr>
          <w:rFonts w:ascii="David" w:eastAsia="Calibri" w:hAnsi="David" w:hint="cs"/>
          <w:noProof w:val="0"/>
          <w:rtl/>
        </w:rPr>
        <w:t xml:space="preserve">, לענייני בריאות וחינוך, כולל </w:t>
      </w:r>
      <w:r w:rsidR="009A5776">
        <w:rPr>
          <w:rFonts w:ascii="David" w:eastAsia="Calibri" w:hAnsi="David" w:hint="cs"/>
          <w:noProof w:val="0"/>
          <w:rtl/>
        </w:rPr>
        <w:lastRenderedPageBreak/>
        <w:t>הוראה לפיה במקרה המחייב שתי חתימות, תשלח הנתבעת לתובע את ה</w:t>
      </w:r>
      <w:r w:rsidRPr="0078256A">
        <w:rPr>
          <w:rFonts w:ascii="David" w:eastAsia="Calibri" w:hAnsi="David"/>
          <w:noProof w:val="0"/>
          <w:rtl/>
        </w:rPr>
        <w:t xml:space="preserve">מסמכים </w:t>
      </w:r>
      <w:r w:rsidR="009A5776">
        <w:rPr>
          <w:rFonts w:ascii="David" w:eastAsia="Calibri" w:hAnsi="David" w:hint="cs"/>
          <w:noProof w:val="0"/>
          <w:rtl/>
        </w:rPr>
        <w:t xml:space="preserve">במייל, </w:t>
      </w:r>
      <w:r w:rsidRPr="0078256A">
        <w:rPr>
          <w:rFonts w:ascii="David" w:eastAsia="Calibri" w:hAnsi="David"/>
          <w:noProof w:val="0"/>
          <w:rtl/>
        </w:rPr>
        <w:t>ו</w:t>
      </w:r>
      <w:r w:rsidR="009A5776">
        <w:rPr>
          <w:rFonts w:ascii="David" w:eastAsia="Calibri" w:hAnsi="David" w:hint="cs"/>
          <w:noProof w:val="0"/>
          <w:rtl/>
        </w:rPr>
        <w:t xml:space="preserve">ככל ולא תתקבל תשובתו </w:t>
      </w:r>
      <w:r w:rsidRPr="0078256A">
        <w:rPr>
          <w:rFonts w:ascii="David" w:eastAsia="Calibri" w:hAnsi="David"/>
          <w:noProof w:val="0"/>
          <w:rtl/>
        </w:rPr>
        <w:t>תוך 7 ימים</w:t>
      </w:r>
      <w:r w:rsidR="009A5776">
        <w:rPr>
          <w:rFonts w:ascii="David" w:eastAsia="Calibri" w:hAnsi="David" w:hint="cs"/>
          <w:noProof w:val="0"/>
          <w:rtl/>
        </w:rPr>
        <w:t xml:space="preserve">, תהא </w:t>
      </w:r>
      <w:r w:rsidRPr="0078256A">
        <w:rPr>
          <w:rFonts w:ascii="David" w:eastAsia="Calibri" w:hAnsi="David"/>
          <w:noProof w:val="0"/>
          <w:rtl/>
        </w:rPr>
        <w:t xml:space="preserve">רשאית </w:t>
      </w:r>
      <w:r w:rsidR="009A5776">
        <w:rPr>
          <w:rFonts w:ascii="David" w:eastAsia="Calibri" w:hAnsi="David" w:hint="cs"/>
          <w:noProof w:val="0"/>
          <w:rtl/>
        </w:rPr>
        <w:t xml:space="preserve">התובעת </w:t>
      </w:r>
      <w:r w:rsidRPr="0078256A">
        <w:rPr>
          <w:rFonts w:ascii="David" w:eastAsia="Calibri" w:hAnsi="David"/>
          <w:noProof w:val="0"/>
          <w:rtl/>
        </w:rPr>
        <w:t>לחתום לבדה</w:t>
      </w:r>
      <w:r w:rsidR="009A5776">
        <w:rPr>
          <w:rFonts w:ascii="David" w:eastAsia="Calibri" w:hAnsi="David" w:hint="cs"/>
          <w:noProof w:val="0"/>
          <w:rtl/>
        </w:rPr>
        <w:t xml:space="preserve">. </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9A5776">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ביום 10.2.20 הגיש התובע תביעה להסדרי שהות עם הקטינות, ביום 27.7.20 התקיים דיון בעניין והתובע לא התייצב לדיון בדיון</w:t>
      </w:r>
      <w:r w:rsidR="009A5776">
        <w:rPr>
          <w:rFonts w:ascii="David" w:eastAsia="Calibri" w:hAnsi="David" w:hint="cs"/>
          <w:noProof w:val="0"/>
          <w:rtl/>
        </w:rPr>
        <w:t xml:space="preserve">. </w:t>
      </w:r>
      <w:r w:rsidRPr="0078256A">
        <w:rPr>
          <w:rFonts w:ascii="David" w:eastAsia="Calibri" w:hAnsi="David"/>
          <w:noProof w:val="0"/>
          <w:rtl/>
        </w:rPr>
        <w:t xml:space="preserve"> ביהמ"ש לא דחה את תביעתו אלא </w:t>
      </w:r>
      <w:r w:rsidR="009A5776">
        <w:rPr>
          <w:rFonts w:ascii="David" w:eastAsia="Calibri" w:hAnsi="David" w:hint="cs"/>
          <w:noProof w:val="0"/>
          <w:rtl/>
        </w:rPr>
        <w:t xml:space="preserve">אפשר לתובע להודיע עמדתו </w:t>
      </w:r>
      <w:r w:rsidRPr="0078256A">
        <w:rPr>
          <w:rFonts w:ascii="David" w:eastAsia="Calibri" w:hAnsi="David"/>
          <w:noProof w:val="0"/>
          <w:rtl/>
        </w:rPr>
        <w:t xml:space="preserve">בתוך 20 ימים ומשלא עשה זאת ביום 4.10.20 ניתן פסק דין כדלקמן: </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9A5776">
      <w:pPr>
        <w:spacing w:before="240" w:after="240" w:line="360" w:lineRule="auto"/>
        <w:ind w:left="1701" w:right="1134"/>
        <w:contextualSpacing/>
        <w:jc w:val="both"/>
        <w:rPr>
          <w:rFonts w:ascii="David" w:eastAsia="Calibri" w:hAnsi="David"/>
          <w:b/>
          <w:bCs/>
          <w:noProof w:val="0"/>
          <w:rtl/>
        </w:rPr>
      </w:pPr>
      <w:r w:rsidRPr="0078256A">
        <w:rPr>
          <w:rFonts w:ascii="David" w:eastAsia="Calibri" w:hAnsi="David"/>
          <w:b/>
          <w:bCs/>
          <w:noProof w:val="0"/>
          <w:rtl/>
        </w:rPr>
        <w:t>"בנדון</w:t>
      </w:r>
      <w:r w:rsidRPr="0078256A">
        <w:rPr>
          <w:rFonts w:ascii="David" w:eastAsia="Calibri" w:hAnsi="David"/>
          <w:b/>
          <w:bCs/>
          <w:noProof w:val="0"/>
        </w:rPr>
        <w:t xml:space="preserve">, </w:t>
      </w:r>
      <w:r w:rsidRPr="0078256A">
        <w:rPr>
          <w:rFonts w:ascii="David" w:eastAsia="Calibri" w:hAnsi="David"/>
          <w:b/>
          <w:bCs/>
          <w:noProof w:val="0"/>
          <w:rtl/>
        </w:rPr>
        <w:t>חלפו</w:t>
      </w:r>
      <w:r w:rsidRPr="0078256A">
        <w:rPr>
          <w:rFonts w:ascii="David" w:eastAsia="Calibri" w:hAnsi="David"/>
          <w:b/>
          <w:bCs/>
          <w:noProof w:val="0"/>
        </w:rPr>
        <w:t xml:space="preserve"> </w:t>
      </w:r>
      <w:r w:rsidRPr="0078256A">
        <w:rPr>
          <w:rFonts w:ascii="David" w:eastAsia="Calibri" w:hAnsi="David"/>
          <w:b/>
          <w:bCs/>
          <w:noProof w:val="0"/>
          <w:rtl/>
        </w:rPr>
        <w:t>לא</w:t>
      </w:r>
      <w:r w:rsidRPr="0078256A">
        <w:rPr>
          <w:rFonts w:ascii="David" w:eastAsia="Calibri" w:hAnsi="David"/>
          <w:b/>
          <w:bCs/>
          <w:noProof w:val="0"/>
        </w:rPr>
        <w:t xml:space="preserve"> </w:t>
      </w:r>
      <w:r w:rsidRPr="0078256A">
        <w:rPr>
          <w:rFonts w:ascii="David" w:eastAsia="Calibri" w:hAnsi="David"/>
          <w:b/>
          <w:bCs/>
          <w:noProof w:val="0"/>
          <w:rtl/>
        </w:rPr>
        <w:t>רק</w:t>
      </w:r>
      <w:r w:rsidRPr="0078256A">
        <w:rPr>
          <w:rFonts w:ascii="David" w:eastAsia="Calibri" w:hAnsi="David"/>
          <w:b/>
          <w:bCs/>
          <w:noProof w:val="0"/>
        </w:rPr>
        <w:t xml:space="preserve"> </w:t>
      </w:r>
      <w:r w:rsidRPr="0078256A">
        <w:rPr>
          <w:rFonts w:ascii="David" w:eastAsia="Calibri" w:hAnsi="David"/>
          <w:b/>
          <w:bCs/>
          <w:noProof w:val="0"/>
          <w:rtl/>
        </w:rPr>
        <w:t>כ</w:t>
      </w:r>
      <w:r w:rsidRPr="0078256A">
        <w:rPr>
          <w:rFonts w:ascii="David" w:eastAsia="Calibri" w:hAnsi="David"/>
          <w:b/>
          <w:bCs/>
          <w:noProof w:val="0"/>
        </w:rPr>
        <w:t xml:space="preserve">- 20 </w:t>
      </w:r>
      <w:r w:rsidRPr="0078256A">
        <w:rPr>
          <w:rFonts w:ascii="David" w:eastAsia="Calibri" w:hAnsi="David"/>
          <w:b/>
          <w:bCs/>
          <w:noProof w:val="0"/>
          <w:rtl/>
        </w:rPr>
        <w:t>יום</w:t>
      </w:r>
      <w:r w:rsidRPr="0078256A">
        <w:rPr>
          <w:rFonts w:ascii="David" w:eastAsia="Calibri" w:hAnsi="David"/>
          <w:b/>
          <w:bCs/>
          <w:noProof w:val="0"/>
        </w:rPr>
        <w:t xml:space="preserve"> </w:t>
      </w:r>
      <w:r w:rsidRPr="0078256A">
        <w:rPr>
          <w:rFonts w:ascii="David" w:eastAsia="Calibri" w:hAnsi="David"/>
          <w:b/>
          <w:bCs/>
          <w:noProof w:val="0"/>
          <w:rtl/>
        </w:rPr>
        <w:t>אלא</w:t>
      </w:r>
      <w:r w:rsidRPr="0078256A">
        <w:rPr>
          <w:rFonts w:ascii="David" w:eastAsia="Calibri" w:hAnsi="David"/>
          <w:b/>
          <w:bCs/>
          <w:noProof w:val="0"/>
        </w:rPr>
        <w:t xml:space="preserve"> </w:t>
      </w:r>
      <w:r w:rsidRPr="0078256A">
        <w:rPr>
          <w:rFonts w:ascii="David" w:eastAsia="Calibri" w:hAnsi="David"/>
          <w:b/>
          <w:bCs/>
          <w:noProof w:val="0"/>
          <w:rtl/>
        </w:rPr>
        <w:t>כחודשים</w:t>
      </w:r>
      <w:r w:rsidRPr="0078256A">
        <w:rPr>
          <w:rFonts w:ascii="David" w:eastAsia="Calibri" w:hAnsi="David"/>
          <w:b/>
          <w:bCs/>
          <w:noProof w:val="0"/>
        </w:rPr>
        <w:t xml:space="preserve"> </w:t>
      </w:r>
      <w:r w:rsidRPr="0078256A">
        <w:rPr>
          <w:rFonts w:ascii="David" w:eastAsia="Calibri" w:hAnsi="David"/>
          <w:b/>
          <w:bCs/>
          <w:noProof w:val="0"/>
          <w:rtl/>
        </w:rPr>
        <w:t>וחצי</w:t>
      </w:r>
      <w:r w:rsidRPr="0078256A">
        <w:rPr>
          <w:rFonts w:ascii="David" w:eastAsia="Calibri" w:hAnsi="David"/>
          <w:b/>
          <w:bCs/>
          <w:noProof w:val="0"/>
        </w:rPr>
        <w:t xml:space="preserve"> </w:t>
      </w:r>
      <w:r w:rsidRPr="0078256A">
        <w:rPr>
          <w:rFonts w:ascii="David" w:eastAsia="Calibri" w:hAnsi="David"/>
          <w:b/>
          <w:bCs/>
          <w:noProof w:val="0"/>
          <w:rtl/>
        </w:rPr>
        <w:t>ללא</w:t>
      </w:r>
      <w:r w:rsidRPr="0078256A">
        <w:rPr>
          <w:rFonts w:ascii="David" w:eastAsia="Calibri" w:hAnsi="David"/>
          <w:b/>
          <w:bCs/>
          <w:noProof w:val="0"/>
        </w:rPr>
        <w:t xml:space="preserve"> </w:t>
      </w:r>
      <w:r w:rsidRPr="0078256A">
        <w:rPr>
          <w:rFonts w:ascii="David" w:eastAsia="Calibri" w:hAnsi="David"/>
          <w:b/>
          <w:bCs/>
          <w:noProof w:val="0"/>
          <w:rtl/>
        </w:rPr>
        <w:t>שהתקבלה</w:t>
      </w:r>
      <w:r w:rsidRPr="0078256A">
        <w:rPr>
          <w:rFonts w:ascii="David" w:eastAsia="Calibri" w:hAnsi="David"/>
          <w:b/>
          <w:bCs/>
          <w:noProof w:val="0"/>
        </w:rPr>
        <w:t xml:space="preserve"> </w:t>
      </w:r>
      <w:r w:rsidRPr="0078256A">
        <w:rPr>
          <w:rFonts w:ascii="David" w:eastAsia="Calibri" w:hAnsi="David"/>
          <w:b/>
          <w:bCs/>
          <w:noProof w:val="0"/>
          <w:rtl/>
        </w:rPr>
        <w:t>תגובת</w:t>
      </w:r>
      <w:r w:rsidRPr="0078256A">
        <w:rPr>
          <w:rFonts w:ascii="David" w:eastAsia="Calibri" w:hAnsi="David"/>
          <w:b/>
          <w:bCs/>
          <w:noProof w:val="0"/>
        </w:rPr>
        <w:t xml:space="preserve"> </w:t>
      </w:r>
      <w:r w:rsidRPr="0078256A">
        <w:rPr>
          <w:rFonts w:ascii="David" w:eastAsia="Calibri" w:hAnsi="David"/>
          <w:b/>
          <w:bCs/>
          <w:noProof w:val="0"/>
          <w:rtl/>
        </w:rPr>
        <w:t>התובע</w:t>
      </w:r>
      <w:r w:rsidRPr="0078256A">
        <w:rPr>
          <w:rFonts w:ascii="David" w:eastAsia="Calibri" w:hAnsi="David"/>
          <w:b/>
          <w:bCs/>
          <w:noProof w:val="0"/>
        </w:rPr>
        <w:t>/</w:t>
      </w:r>
      <w:r w:rsidRPr="0078256A">
        <w:rPr>
          <w:rFonts w:ascii="David" w:eastAsia="Calibri" w:hAnsi="David"/>
          <w:b/>
          <w:bCs/>
          <w:noProof w:val="0"/>
          <w:rtl/>
        </w:rPr>
        <w:t>עמדתו</w:t>
      </w:r>
      <w:r w:rsidRPr="0078256A">
        <w:rPr>
          <w:rFonts w:ascii="David" w:eastAsia="Calibri" w:hAnsi="David"/>
          <w:b/>
          <w:bCs/>
          <w:noProof w:val="0"/>
        </w:rPr>
        <w:t xml:space="preserve"> </w:t>
      </w:r>
      <w:r w:rsidRPr="0078256A">
        <w:rPr>
          <w:rFonts w:ascii="David" w:eastAsia="Calibri" w:hAnsi="David"/>
          <w:b/>
          <w:bCs/>
          <w:noProof w:val="0"/>
          <w:rtl/>
        </w:rPr>
        <w:t>או</w:t>
      </w:r>
      <w:r w:rsidRPr="0078256A">
        <w:rPr>
          <w:rFonts w:ascii="David" w:eastAsia="Calibri" w:hAnsi="David"/>
          <w:b/>
          <w:bCs/>
          <w:noProof w:val="0"/>
        </w:rPr>
        <w:t xml:space="preserve"> </w:t>
      </w:r>
      <w:r w:rsidRPr="0078256A">
        <w:rPr>
          <w:rFonts w:ascii="David" w:eastAsia="Calibri" w:hAnsi="David"/>
          <w:b/>
          <w:bCs/>
          <w:noProof w:val="0"/>
          <w:rtl/>
        </w:rPr>
        <w:t>כל</w:t>
      </w:r>
      <w:r w:rsidRPr="0078256A">
        <w:rPr>
          <w:rFonts w:ascii="David" w:eastAsia="Calibri" w:hAnsi="David"/>
          <w:b/>
          <w:bCs/>
          <w:noProof w:val="0"/>
        </w:rPr>
        <w:t xml:space="preserve"> </w:t>
      </w:r>
      <w:r w:rsidRPr="0078256A">
        <w:rPr>
          <w:rFonts w:ascii="David" w:eastAsia="Calibri" w:hAnsi="David"/>
          <w:b/>
          <w:bCs/>
          <w:noProof w:val="0"/>
          <w:rtl/>
        </w:rPr>
        <w:t xml:space="preserve">בקשה </w:t>
      </w:r>
      <w:r w:rsidRPr="0078256A">
        <w:rPr>
          <w:rFonts w:ascii="David" w:eastAsia="Calibri" w:hAnsi="David"/>
          <w:b/>
          <w:bCs/>
          <w:noProof w:val="0"/>
        </w:rPr>
        <w:t xml:space="preserve">  </w:t>
      </w:r>
      <w:r w:rsidRPr="0078256A">
        <w:rPr>
          <w:rFonts w:ascii="David" w:eastAsia="Calibri" w:hAnsi="David"/>
          <w:b/>
          <w:bCs/>
          <w:noProof w:val="0"/>
          <w:rtl/>
        </w:rPr>
        <w:t>אחרת</w:t>
      </w:r>
      <w:r w:rsidRPr="0078256A">
        <w:rPr>
          <w:rFonts w:ascii="David" w:eastAsia="Calibri" w:hAnsi="David"/>
          <w:b/>
          <w:bCs/>
          <w:noProof w:val="0"/>
        </w:rPr>
        <w:t xml:space="preserve">. </w:t>
      </w:r>
    </w:p>
    <w:p w:rsidR="0078256A" w:rsidRPr="0078256A" w:rsidRDefault="0078256A" w:rsidP="009A5776">
      <w:pPr>
        <w:spacing w:before="240" w:after="240" w:line="360" w:lineRule="auto"/>
        <w:ind w:left="1701" w:right="1134"/>
        <w:contextualSpacing/>
        <w:jc w:val="both"/>
        <w:rPr>
          <w:rFonts w:ascii="David" w:eastAsia="Calibri" w:hAnsi="David"/>
          <w:b/>
          <w:bCs/>
          <w:noProof w:val="0"/>
          <w:rtl/>
        </w:rPr>
      </w:pPr>
      <w:r w:rsidRPr="0078256A">
        <w:rPr>
          <w:rFonts w:ascii="David" w:eastAsia="Calibri" w:hAnsi="David"/>
          <w:b/>
          <w:bCs/>
          <w:noProof w:val="0"/>
          <w:rtl/>
        </w:rPr>
        <w:t>בשל</w:t>
      </w:r>
      <w:r w:rsidRPr="0078256A">
        <w:rPr>
          <w:rFonts w:ascii="David" w:eastAsia="Calibri" w:hAnsi="David"/>
          <w:b/>
          <w:bCs/>
          <w:noProof w:val="0"/>
        </w:rPr>
        <w:t xml:space="preserve"> </w:t>
      </w:r>
      <w:r w:rsidRPr="0078256A">
        <w:rPr>
          <w:rFonts w:ascii="David" w:eastAsia="Calibri" w:hAnsi="David"/>
          <w:b/>
          <w:bCs/>
          <w:noProof w:val="0"/>
          <w:rtl/>
        </w:rPr>
        <w:t>חוסר</w:t>
      </w:r>
      <w:r w:rsidRPr="0078256A">
        <w:rPr>
          <w:rFonts w:ascii="David" w:eastAsia="Calibri" w:hAnsi="David"/>
          <w:b/>
          <w:bCs/>
          <w:noProof w:val="0"/>
        </w:rPr>
        <w:t xml:space="preserve"> </w:t>
      </w:r>
      <w:r w:rsidRPr="0078256A">
        <w:rPr>
          <w:rFonts w:ascii="David" w:eastAsia="Calibri" w:hAnsi="David"/>
          <w:b/>
          <w:bCs/>
          <w:noProof w:val="0"/>
          <w:rtl/>
        </w:rPr>
        <w:t>המעש</w:t>
      </w:r>
      <w:r w:rsidRPr="0078256A">
        <w:rPr>
          <w:rFonts w:ascii="David" w:eastAsia="Calibri" w:hAnsi="David"/>
          <w:b/>
          <w:bCs/>
          <w:noProof w:val="0"/>
        </w:rPr>
        <w:t xml:space="preserve"> </w:t>
      </w:r>
      <w:r w:rsidRPr="0078256A">
        <w:rPr>
          <w:rFonts w:ascii="David" w:eastAsia="Calibri" w:hAnsi="David"/>
          <w:b/>
          <w:bCs/>
          <w:noProof w:val="0"/>
          <w:rtl/>
        </w:rPr>
        <w:t>ונוכח</w:t>
      </w:r>
      <w:r w:rsidRPr="0078256A">
        <w:rPr>
          <w:rFonts w:ascii="David" w:eastAsia="Calibri" w:hAnsi="David"/>
          <w:b/>
          <w:bCs/>
          <w:noProof w:val="0"/>
        </w:rPr>
        <w:t xml:space="preserve"> </w:t>
      </w:r>
      <w:r w:rsidRPr="0078256A">
        <w:rPr>
          <w:rFonts w:ascii="David" w:eastAsia="Calibri" w:hAnsi="David"/>
          <w:b/>
          <w:bCs/>
          <w:noProof w:val="0"/>
          <w:rtl/>
        </w:rPr>
        <w:t>התייצבות</w:t>
      </w:r>
      <w:r w:rsidRPr="0078256A">
        <w:rPr>
          <w:rFonts w:ascii="David" w:eastAsia="Calibri" w:hAnsi="David"/>
          <w:b/>
          <w:bCs/>
          <w:noProof w:val="0"/>
        </w:rPr>
        <w:t xml:space="preserve"> </w:t>
      </w:r>
      <w:r w:rsidRPr="0078256A">
        <w:rPr>
          <w:rFonts w:ascii="David" w:eastAsia="Calibri" w:hAnsi="David"/>
          <w:b/>
          <w:bCs/>
          <w:noProof w:val="0"/>
          <w:rtl/>
        </w:rPr>
        <w:t>ב</w:t>
      </w:r>
      <w:r w:rsidRPr="0078256A">
        <w:rPr>
          <w:rFonts w:ascii="David" w:eastAsia="Calibri" w:hAnsi="David"/>
          <w:b/>
          <w:bCs/>
          <w:noProof w:val="0"/>
        </w:rPr>
        <w:t>"</w:t>
      </w:r>
      <w:r w:rsidRPr="0078256A">
        <w:rPr>
          <w:rFonts w:ascii="David" w:eastAsia="Calibri" w:hAnsi="David"/>
          <w:b/>
          <w:bCs/>
          <w:noProof w:val="0"/>
          <w:rtl/>
        </w:rPr>
        <w:t>כ</w:t>
      </w:r>
      <w:r w:rsidRPr="0078256A">
        <w:rPr>
          <w:rFonts w:ascii="David" w:eastAsia="Calibri" w:hAnsi="David"/>
          <w:b/>
          <w:bCs/>
          <w:noProof w:val="0"/>
        </w:rPr>
        <w:t xml:space="preserve"> </w:t>
      </w:r>
      <w:r w:rsidRPr="0078256A">
        <w:rPr>
          <w:rFonts w:ascii="David" w:eastAsia="Calibri" w:hAnsi="David"/>
          <w:b/>
          <w:bCs/>
          <w:noProof w:val="0"/>
          <w:rtl/>
        </w:rPr>
        <w:t>בדיון</w:t>
      </w:r>
      <w:r w:rsidRPr="0078256A">
        <w:rPr>
          <w:rFonts w:ascii="David" w:eastAsia="Calibri" w:hAnsi="David"/>
          <w:b/>
          <w:bCs/>
          <w:noProof w:val="0"/>
        </w:rPr>
        <w:t xml:space="preserve"> </w:t>
      </w:r>
      <w:r w:rsidRPr="0078256A">
        <w:rPr>
          <w:rFonts w:ascii="David" w:eastAsia="Calibri" w:hAnsi="David"/>
          <w:b/>
          <w:bCs/>
          <w:noProof w:val="0"/>
          <w:rtl/>
        </w:rPr>
        <w:t>נחזה</w:t>
      </w:r>
      <w:r w:rsidRPr="0078256A">
        <w:rPr>
          <w:rFonts w:ascii="David" w:eastAsia="Calibri" w:hAnsi="David"/>
          <w:b/>
          <w:bCs/>
          <w:noProof w:val="0"/>
        </w:rPr>
        <w:t xml:space="preserve"> </w:t>
      </w:r>
      <w:r w:rsidRPr="0078256A">
        <w:rPr>
          <w:rFonts w:ascii="David" w:eastAsia="Calibri" w:hAnsi="David"/>
          <w:b/>
          <w:bCs/>
          <w:noProof w:val="0"/>
          <w:rtl/>
        </w:rPr>
        <w:t>שהתובע</w:t>
      </w:r>
      <w:r w:rsidRPr="0078256A">
        <w:rPr>
          <w:rFonts w:ascii="David" w:eastAsia="Calibri" w:hAnsi="David"/>
          <w:b/>
          <w:bCs/>
          <w:noProof w:val="0"/>
        </w:rPr>
        <w:t xml:space="preserve"> </w:t>
      </w:r>
      <w:r w:rsidRPr="0078256A">
        <w:rPr>
          <w:rFonts w:ascii="David" w:eastAsia="Calibri" w:hAnsi="David"/>
          <w:b/>
          <w:bCs/>
          <w:noProof w:val="0"/>
          <w:rtl/>
        </w:rPr>
        <w:t>זנח</w:t>
      </w:r>
      <w:r w:rsidRPr="0078256A">
        <w:rPr>
          <w:rFonts w:ascii="David" w:eastAsia="Calibri" w:hAnsi="David"/>
          <w:b/>
          <w:bCs/>
          <w:noProof w:val="0"/>
        </w:rPr>
        <w:t xml:space="preserve"> </w:t>
      </w:r>
      <w:r w:rsidRPr="0078256A">
        <w:rPr>
          <w:rFonts w:ascii="David" w:eastAsia="Calibri" w:hAnsi="David"/>
          <w:b/>
          <w:bCs/>
          <w:noProof w:val="0"/>
          <w:rtl/>
        </w:rPr>
        <w:t>את</w:t>
      </w:r>
      <w:r w:rsidRPr="0078256A">
        <w:rPr>
          <w:rFonts w:ascii="David" w:eastAsia="Calibri" w:hAnsi="David"/>
          <w:b/>
          <w:bCs/>
          <w:noProof w:val="0"/>
        </w:rPr>
        <w:t xml:space="preserve"> </w:t>
      </w:r>
      <w:r w:rsidRPr="0078256A">
        <w:rPr>
          <w:rFonts w:ascii="David" w:eastAsia="Calibri" w:hAnsi="David"/>
          <w:b/>
          <w:bCs/>
          <w:noProof w:val="0"/>
          <w:rtl/>
        </w:rPr>
        <w:t>תביעתו</w:t>
      </w:r>
      <w:r w:rsidRPr="0078256A">
        <w:rPr>
          <w:rFonts w:ascii="David" w:eastAsia="Calibri" w:hAnsi="David"/>
          <w:b/>
          <w:bCs/>
          <w:noProof w:val="0"/>
        </w:rPr>
        <w:t xml:space="preserve"> </w:t>
      </w:r>
      <w:r w:rsidRPr="0078256A">
        <w:rPr>
          <w:rFonts w:ascii="David" w:eastAsia="Calibri" w:hAnsi="David"/>
          <w:b/>
          <w:bCs/>
          <w:noProof w:val="0"/>
          <w:rtl/>
        </w:rPr>
        <w:t>ולכן</w:t>
      </w:r>
      <w:r w:rsidRPr="0078256A">
        <w:rPr>
          <w:rFonts w:ascii="David" w:eastAsia="Calibri" w:hAnsi="David"/>
          <w:b/>
          <w:bCs/>
          <w:noProof w:val="0"/>
        </w:rPr>
        <w:t xml:space="preserve"> </w:t>
      </w:r>
      <w:r w:rsidRPr="0078256A">
        <w:rPr>
          <w:rFonts w:ascii="David" w:eastAsia="Calibri" w:hAnsi="David"/>
          <w:b/>
          <w:bCs/>
          <w:noProof w:val="0"/>
          <w:rtl/>
        </w:rPr>
        <w:t>אני</w:t>
      </w:r>
      <w:r w:rsidRPr="0078256A">
        <w:rPr>
          <w:rFonts w:ascii="David" w:eastAsia="Calibri" w:hAnsi="David"/>
          <w:b/>
          <w:bCs/>
          <w:noProof w:val="0"/>
        </w:rPr>
        <w:t xml:space="preserve"> </w:t>
      </w:r>
      <w:r w:rsidRPr="0078256A">
        <w:rPr>
          <w:rFonts w:ascii="David" w:eastAsia="Calibri" w:hAnsi="David"/>
          <w:b/>
          <w:bCs/>
          <w:noProof w:val="0"/>
          <w:rtl/>
        </w:rPr>
        <w:t>מורה</w:t>
      </w:r>
      <w:r w:rsidRPr="0078256A">
        <w:rPr>
          <w:rFonts w:ascii="David" w:eastAsia="Calibri" w:hAnsi="David"/>
          <w:b/>
          <w:bCs/>
          <w:noProof w:val="0"/>
        </w:rPr>
        <w:t xml:space="preserve"> </w:t>
      </w:r>
      <w:r w:rsidRPr="0078256A">
        <w:rPr>
          <w:rFonts w:ascii="David" w:eastAsia="Calibri" w:hAnsi="David"/>
          <w:b/>
          <w:bCs/>
          <w:noProof w:val="0"/>
          <w:rtl/>
        </w:rPr>
        <w:t>על</w:t>
      </w:r>
      <w:r w:rsidRPr="0078256A">
        <w:rPr>
          <w:rFonts w:ascii="David" w:eastAsia="Calibri" w:hAnsi="David"/>
          <w:b/>
          <w:bCs/>
          <w:noProof w:val="0"/>
        </w:rPr>
        <w:t xml:space="preserve"> </w:t>
      </w:r>
      <w:r w:rsidRPr="0078256A">
        <w:rPr>
          <w:rFonts w:ascii="David" w:eastAsia="Calibri" w:hAnsi="David"/>
          <w:b/>
          <w:bCs/>
          <w:noProof w:val="0"/>
          <w:rtl/>
        </w:rPr>
        <w:t>מחיקת</w:t>
      </w:r>
      <w:r w:rsidRPr="0078256A">
        <w:rPr>
          <w:rFonts w:ascii="David" w:eastAsia="Calibri" w:hAnsi="David"/>
          <w:b/>
          <w:bCs/>
          <w:noProof w:val="0"/>
        </w:rPr>
        <w:t xml:space="preserve">  </w:t>
      </w:r>
      <w:r w:rsidRPr="0078256A">
        <w:rPr>
          <w:rFonts w:ascii="David" w:eastAsia="Calibri" w:hAnsi="David"/>
          <w:b/>
          <w:bCs/>
          <w:noProof w:val="0"/>
          <w:rtl/>
        </w:rPr>
        <w:t>התביעה</w:t>
      </w:r>
      <w:r w:rsidRPr="0078256A">
        <w:rPr>
          <w:rFonts w:ascii="David" w:eastAsia="Calibri" w:hAnsi="David"/>
          <w:b/>
          <w:bCs/>
          <w:noProof w:val="0"/>
        </w:rPr>
        <w:t xml:space="preserve">. </w:t>
      </w:r>
    </w:p>
    <w:p w:rsidR="0078256A" w:rsidRPr="0078256A" w:rsidRDefault="0078256A" w:rsidP="009A5776">
      <w:pPr>
        <w:spacing w:before="240" w:after="240" w:line="360" w:lineRule="auto"/>
        <w:ind w:left="1701" w:right="1134"/>
        <w:contextualSpacing/>
        <w:jc w:val="both"/>
        <w:rPr>
          <w:rFonts w:ascii="David" w:eastAsia="Calibri" w:hAnsi="David"/>
          <w:b/>
          <w:bCs/>
          <w:noProof w:val="0"/>
          <w:rtl/>
        </w:rPr>
      </w:pPr>
      <w:r w:rsidRPr="0078256A">
        <w:rPr>
          <w:rFonts w:ascii="David" w:eastAsia="Calibri" w:hAnsi="David"/>
          <w:b/>
          <w:bCs/>
          <w:noProof w:val="0"/>
          <w:rtl/>
        </w:rPr>
        <w:t>אני</w:t>
      </w:r>
      <w:r w:rsidRPr="0078256A">
        <w:rPr>
          <w:rFonts w:ascii="David" w:eastAsia="Calibri" w:hAnsi="David"/>
          <w:b/>
          <w:bCs/>
          <w:noProof w:val="0"/>
        </w:rPr>
        <w:t xml:space="preserve"> </w:t>
      </w:r>
      <w:r w:rsidRPr="0078256A">
        <w:rPr>
          <w:rFonts w:ascii="David" w:eastAsia="Calibri" w:hAnsi="David"/>
          <w:b/>
          <w:bCs/>
          <w:noProof w:val="0"/>
          <w:rtl/>
        </w:rPr>
        <w:t>מחייב</w:t>
      </w:r>
      <w:r w:rsidRPr="0078256A">
        <w:rPr>
          <w:rFonts w:ascii="David" w:eastAsia="Calibri" w:hAnsi="David"/>
          <w:b/>
          <w:bCs/>
          <w:noProof w:val="0"/>
        </w:rPr>
        <w:t xml:space="preserve"> </w:t>
      </w:r>
      <w:r w:rsidRPr="0078256A">
        <w:rPr>
          <w:rFonts w:ascii="David" w:eastAsia="Calibri" w:hAnsi="David"/>
          <w:b/>
          <w:bCs/>
          <w:noProof w:val="0"/>
          <w:rtl/>
        </w:rPr>
        <w:t>את</w:t>
      </w:r>
      <w:r w:rsidRPr="0078256A">
        <w:rPr>
          <w:rFonts w:ascii="David" w:eastAsia="Calibri" w:hAnsi="David"/>
          <w:b/>
          <w:bCs/>
          <w:noProof w:val="0"/>
        </w:rPr>
        <w:t xml:space="preserve"> </w:t>
      </w:r>
      <w:r w:rsidRPr="0078256A">
        <w:rPr>
          <w:rFonts w:ascii="David" w:eastAsia="Calibri" w:hAnsi="David"/>
          <w:b/>
          <w:bCs/>
          <w:noProof w:val="0"/>
          <w:rtl/>
        </w:rPr>
        <w:t>התובע</w:t>
      </w:r>
      <w:r w:rsidRPr="0078256A">
        <w:rPr>
          <w:rFonts w:ascii="David" w:eastAsia="Calibri" w:hAnsi="David"/>
          <w:b/>
          <w:bCs/>
          <w:noProof w:val="0"/>
        </w:rPr>
        <w:t xml:space="preserve"> </w:t>
      </w:r>
      <w:r w:rsidRPr="0078256A">
        <w:rPr>
          <w:rFonts w:ascii="David" w:eastAsia="Calibri" w:hAnsi="David"/>
          <w:b/>
          <w:bCs/>
          <w:noProof w:val="0"/>
          <w:rtl/>
        </w:rPr>
        <w:t>בהוצאות</w:t>
      </w:r>
      <w:r w:rsidRPr="0078256A">
        <w:rPr>
          <w:rFonts w:ascii="David" w:eastAsia="Calibri" w:hAnsi="David"/>
          <w:b/>
          <w:bCs/>
          <w:noProof w:val="0"/>
        </w:rPr>
        <w:t xml:space="preserve"> </w:t>
      </w:r>
      <w:r w:rsidRPr="0078256A">
        <w:rPr>
          <w:rFonts w:ascii="David" w:eastAsia="Calibri" w:hAnsi="David"/>
          <w:b/>
          <w:bCs/>
          <w:noProof w:val="0"/>
          <w:rtl/>
        </w:rPr>
        <w:t>מותנות</w:t>
      </w:r>
      <w:r w:rsidRPr="0078256A">
        <w:rPr>
          <w:rFonts w:ascii="David" w:eastAsia="Calibri" w:hAnsi="David"/>
          <w:b/>
          <w:bCs/>
          <w:noProof w:val="0"/>
        </w:rPr>
        <w:t xml:space="preserve">, </w:t>
      </w:r>
      <w:r w:rsidRPr="0078256A">
        <w:rPr>
          <w:rFonts w:ascii="David" w:eastAsia="Calibri" w:hAnsi="David"/>
          <w:b/>
          <w:bCs/>
          <w:noProof w:val="0"/>
          <w:rtl/>
        </w:rPr>
        <w:t>ככול</w:t>
      </w:r>
      <w:r w:rsidRPr="0078256A">
        <w:rPr>
          <w:rFonts w:ascii="David" w:eastAsia="Calibri" w:hAnsi="David"/>
          <w:b/>
          <w:bCs/>
          <w:noProof w:val="0"/>
        </w:rPr>
        <w:t xml:space="preserve"> </w:t>
      </w:r>
      <w:r w:rsidRPr="0078256A">
        <w:rPr>
          <w:rFonts w:ascii="David" w:eastAsia="Calibri" w:hAnsi="David"/>
          <w:b/>
          <w:bCs/>
          <w:noProof w:val="0"/>
          <w:rtl/>
        </w:rPr>
        <w:t>שיגיש</w:t>
      </w:r>
      <w:r w:rsidRPr="0078256A">
        <w:rPr>
          <w:rFonts w:ascii="David" w:eastAsia="Calibri" w:hAnsi="David"/>
          <w:b/>
          <w:bCs/>
          <w:noProof w:val="0"/>
        </w:rPr>
        <w:t xml:space="preserve"> </w:t>
      </w:r>
      <w:r w:rsidRPr="0078256A">
        <w:rPr>
          <w:rFonts w:ascii="David" w:eastAsia="Calibri" w:hAnsi="David"/>
          <w:b/>
          <w:bCs/>
          <w:noProof w:val="0"/>
          <w:rtl/>
        </w:rPr>
        <w:t>תובענה</w:t>
      </w:r>
      <w:r w:rsidRPr="0078256A">
        <w:rPr>
          <w:rFonts w:ascii="David" w:eastAsia="Calibri" w:hAnsi="David"/>
          <w:b/>
          <w:bCs/>
          <w:noProof w:val="0"/>
        </w:rPr>
        <w:t xml:space="preserve"> </w:t>
      </w:r>
      <w:r w:rsidRPr="0078256A">
        <w:rPr>
          <w:rFonts w:ascii="David" w:eastAsia="Calibri" w:hAnsi="David"/>
          <w:b/>
          <w:bCs/>
          <w:noProof w:val="0"/>
          <w:rtl/>
        </w:rPr>
        <w:t>דומה</w:t>
      </w:r>
      <w:r w:rsidRPr="0078256A">
        <w:rPr>
          <w:rFonts w:ascii="David" w:eastAsia="Calibri" w:hAnsi="David"/>
          <w:b/>
          <w:bCs/>
          <w:noProof w:val="0"/>
        </w:rPr>
        <w:t xml:space="preserve"> </w:t>
      </w:r>
      <w:r w:rsidRPr="0078256A">
        <w:rPr>
          <w:rFonts w:ascii="David" w:eastAsia="Calibri" w:hAnsi="David"/>
          <w:b/>
          <w:bCs/>
          <w:noProof w:val="0"/>
          <w:rtl/>
        </w:rPr>
        <w:t>ישלם</w:t>
      </w:r>
      <w:r w:rsidRPr="0078256A">
        <w:rPr>
          <w:rFonts w:ascii="David" w:eastAsia="Calibri" w:hAnsi="David"/>
          <w:b/>
          <w:bCs/>
          <w:noProof w:val="0"/>
        </w:rPr>
        <w:t xml:space="preserve"> </w:t>
      </w:r>
      <w:r w:rsidRPr="0078256A">
        <w:rPr>
          <w:rFonts w:ascii="David" w:eastAsia="Calibri" w:hAnsi="David"/>
          <w:b/>
          <w:bCs/>
          <w:noProof w:val="0"/>
          <w:rtl/>
        </w:rPr>
        <w:t>הוצאות</w:t>
      </w:r>
      <w:r w:rsidRPr="0078256A">
        <w:rPr>
          <w:rFonts w:ascii="David" w:eastAsia="Calibri" w:hAnsi="David"/>
          <w:b/>
          <w:bCs/>
          <w:noProof w:val="0"/>
        </w:rPr>
        <w:t xml:space="preserve"> </w:t>
      </w:r>
      <w:r w:rsidRPr="0078256A">
        <w:rPr>
          <w:rFonts w:ascii="David" w:eastAsia="Calibri" w:hAnsi="David"/>
          <w:b/>
          <w:bCs/>
          <w:noProof w:val="0"/>
          <w:rtl/>
        </w:rPr>
        <w:t>משפט</w:t>
      </w:r>
      <w:r w:rsidRPr="0078256A">
        <w:rPr>
          <w:rFonts w:ascii="David" w:eastAsia="Calibri" w:hAnsi="David"/>
          <w:b/>
          <w:bCs/>
          <w:noProof w:val="0"/>
        </w:rPr>
        <w:t xml:space="preserve"> </w:t>
      </w:r>
      <w:r w:rsidRPr="0078256A">
        <w:rPr>
          <w:rFonts w:ascii="David" w:eastAsia="Calibri" w:hAnsi="David"/>
          <w:b/>
          <w:bCs/>
          <w:noProof w:val="0"/>
          <w:rtl/>
        </w:rPr>
        <w:t>בגין</w:t>
      </w:r>
      <w:r w:rsidRPr="0078256A">
        <w:rPr>
          <w:rFonts w:ascii="David" w:eastAsia="Calibri" w:hAnsi="David"/>
          <w:b/>
          <w:bCs/>
          <w:noProof w:val="0"/>
        </w:rPr>
        <w:t xml:space="preserve"> </w:t>
      </w:r>
      <w:r w:rsidRPr="0078256A">
        <w:rPr>
          <w:rFonts w:ascii="David" w:eastAsia="Calibri" w:hAnsi="David"/>
          <w:b/>
          <w:bCs/>
          <w:noProof w:val="0"/>
          <w:rtl/>
        </w:rPr>
        <w:t>ההליך</w:t>
      </w:r>
      <w:r w:rsidRPr="0078256A">
        <w:rPr>
          <w:rFonts w:ascii="David" w:eastAsia="Calibri" w:hAnsi="David"/>
          <w:b/>
          <w:bCs/>
          <w:noProof w:val="0"/>
        </w:rPr>
        <w:t xml:space="preserve"> 20 </w:t>
      </w:r>
      <w:r w:rsidRPr="0078256A">
        <w:rPr>
          <w:rFonts w:ascii="David" w:eastAsia="Calibri" w:hAnsi="David"/>
          <w:b/>
          <w:bCs/>
          <w:noProof w:val="0"/>
          <w:rtl/>
        </w:rPr>
        <w:t>שנזנח</w:t>
      </w:r>
      <w:r w:rsidRPr="0078256A">
        <w:rPr>
          <w:rFonts w:ascii="David" w:eastAsia="Calibri" w:hAnsi="David"/>
          <w:b/>
          <w:bCs/>
          <w:noProof w:val="0"/>
        </w:rPr>
        <w:t xml:space="preserve"> </w:t>
      </w:r>
      <w:r w:rsidRPr="0078256A">
        <w:rPr>
          <w:rFonts w:ascii="David" w:eastAsia="Calibri" w:hAnsi="David"/>
          <w:b/>
          <w:bCs/>
          <w:noProof w:val="0"/>
          <w:rtl/>
        </w:rPr>
        <w:t>על</w:t>
      </w:r>
      <w:r w:rsidRPr="0078256A">
        <w:rPr>
          <w:rFonts w:ascii="David" w:eastAsia="Calibri" w:hAnsi="David"/>
          <w:b/>
          <w:bCs/>
          <w:noProof w:val="0"/>
        </w:rPr>
        <w:t xml:space="preserve"> </w:t>
      </w:r>
      <w:r w:rsidRPr="0078256A">
        <w:rPr>
          <w:rFonts w:ascii="David" w:eastAsia="Calibri" w:hAnsi="David"/>
          <w:b/>
          <w:bCs/>
          <w:noProof w:val="0"/>
          <w:rtl/>
        </w:rPr>
        <w:t>ידו</w:t>
      </w:r>
      <w:r w:rsidRPr="0078256A">
        <w:rPr>
          <w:rFonts w:ascii="David" w:eastAsia="Calibri" w:hAnsi="David"/>
          <w:b/>
          <w:bCs/>
          <w:noProof w:val="0"/>
        </w:rPr>
        <w:t xml:space="preserve"> </w:t>
      </w:r>
      <w:r w:rsidRPr="0078256A">
        <w:rPr>
          <w:rFonts w:ascii="David" w:eastAsia="Calibri" w:hAnsi="David"/>
          <w:b/>
          <w:bCs/>
          <w:noProof w:val="0"/>
          <w:rtl/>
        </w:rPr>
        <w:t>סך</w:t>
      </w:r>
      <w:r w:rsidRPr="0078256A">
        <w:rPr>
          <w:rFonts w:ascii="David" w:eastAsia="Calibri" w:hAnsi="David"/>
          <w:b/>
          <w:bCs/>
          <w:noProof w:val="0"/>
        </w:rPr>
        <w:t xml:space="preserve"> </w:t>
      </w:r>
      <w:r w:rsidRPr="0078256A">
        <w:rPr>
          <w:rFonts w:ascii="David" w:eastAsia="Calibri" w:hAnsi="David"/>
          <w:b/>
          <w:bCs/>
          <w:noProof w:val="0"/>
          <w:rtl/>
        </w:rPr>
        <w:t>של</w:t>
      </w:r>
      <w:r w:rsidRPr="0078256A">
        <w:rPr>
          <w:rFonts w:ascii="David" w:eastAsia="Calibri" w:hAnsi="David"/>
          <w:b/>
          <w:bCs/>
          <w:noProof w:val="0"/>
        </w:rPr>
        <w:t xml:space="preserve"> 3,000 </w:t>
      </w:r>
      <w:r w:rsidRPr="0078256A">
        <w:rPr>
          <w:rFonts w:ascii="David" w:eastAsia="Calibri" w:hAnsi="David"/>
          <w:b/>
          <w:bCs/>
          <w:noProof w:val="0"/>
          <w:rtl/>
        </w:rPr>
        <w:t>₪</w:t>
      </w:r>
      <w:r w:rsidRPr="0078256A">
        <w:rPr>
          <w:rFonts w:ascii="David" w:eastAsia="Calibri" w:hAnsi="David"/>
          <w:b/>
          <w:bCs/>
          <w:noProof w:val="0"/>
        </w:rPr>
        <w:t xml:space="preserve"> </w:t>
      </w:r>
      <w:r w:rsidRPr="0078256A">
        <w:rPr>
          <w:rFonts w:ascii="David" w:eastAsia="Calibri" w:hAnsi="David"/>
          <w:b/>
          <w:bCs/>
          <w:noProof w:val="0"/>
          <w:rtl/>
        </w:rPr>
        <w:t>בצירוף</w:t>
      </w:r>
      <w:r w:rsidRPr="0078256A">
        <w:rPr>
          <w:rFonts w:ascii="David" w:eastAsia="Calibri" w:hAnsi="David"/>
          <w:b/>
          <w:bCs/>
          <w:noProof w:val="0"/>
        </w:rPr>
        <w:t xml:space="preserve"> </w:t>
      </w:r>
      <w:r w:rsidRPr="0078256A">
        <w:rPr>
          <w:rFonts w:ascii="David" w:eastAsia="Calibri" w:hAnsi="David"/>
          <w:b/>
          <w:bCs/>
          <w:noProof w:val="0"/>
          <w:rtl/>
        </w:rPr>
        <w:t>הפרשי</w:t>
      </w:r>
      <w:r w:rsidRPr="0078256A">
        <w:rPr>
          <w:rFonts w:ascii="David" w:eastAsia="Calibri" w:hAnsi="David"/>
          <w:b/>
          <w:bCs/>
          <w:noProof w:val="0"/>
        </w:rPr>
        <w:t xml:space="preserve"> </w:t>
      </w:r>
      <w:r w:rsidRPr="0078256A">
        <w:rPr>
          <w:rFonts w:ascii="David" w:eastAsia="Calibri" w:hAnsi="David"/>
          <w:b/>
          <w:bCs/>
          <w:noProof w:val="0"/>
          <w:rtl/>
        </w:rPr>
        <w:t>הצמדה</w:t>
      </w:r>
      <w:r w:rsidRPr="0078256A">
        <w:rPr>
          <w:rFonts w:ascii="David" w:eastAsia="Calibri" w:hAnsi="David"/>
          <w:b/>
          <w:bCs/>
          <w:noProof w:val="0"/>
        </w:rPr>
        <w:t xml:space="preserve"> </w:t>
      </w:r>
      <w:r w:rsidRPr="0078256A">
        <w:rPr>
          <w:rFonts w:ascii="David" w:eastAsia="Calibri" w:hAnsi="David"/>
          <w:b/>
          <w:bCs/>
          <w:noProof w:val="0"/>
          <w:rtl/>
        </w:rPr>
        <w:t>וריבית</w:t>
      </w:r>
      <w:r w:rsidRPr="0078256A">
        <w:rPr>
          <w:rFonts w:ascii="David" w:eastAsia="Calibri" w:hAnsi="David"/>
          <w:b/>
          <w:bCs/>
          <w:noProof w:val="0"/>
        </w:rPr>
        <w:t xml:space="preserve"> </w:t>
      </w:r>
      <w:r w:rsidRPr="0078256A">
        <w:rPr>
          <w:rFonts w:ascii="David" w:eastAsia="Calibri" w:hAnsi="David"/>
          <w:b/>
          <w:bCs/>
          <w:noProof w:val="0"/>
          <w:rtl/>
        </w:rPr>
        <w:t>כחוק</w:t>
      </w:r>
      <w:r w:rsidRPr="0078256A">
        <w:rPr>
          <w:rFonts w:ascii="David" w:eastAsia="Calibri" w:hAnsi="David"/>
          <w:b/>
          <w:bCs/>
          <w:noProof w:val="0"/>
        </w:rPr>
        <w:t xml:space="preserve"> </w:t>
      </w:r>
      <w:r w:rsidRPr="0078256A">
        <w:rPr>
          <w:rFonts w:ascii="David" w:eastAsia="Calibri" w:hAnsi="David"/>
          <w:b/>
          <w:bCs/>
          <w:noProof w:val="0"/>
          <w:rtl/>
        </w:rPr>
        <w:t>מהיום</w:t>
      </w:r>
      <w:r w:rsidRPr="0078256A">
        <w:rPr>
          <w:rFonts w:ascii="David" w:eastAsia="Calibri" w:hAnsi="David"/>
          <w:b/>
          <w:bCs/>
          <w:noProof w:val="0"/>
        </w:rPr>
        <w:t xml:space="preserve"> </w:t>
      </w:r>
      <w:r w:rsidRPr="0078256A">
        <w:rPr>
          <w:rFonts w:ascii="David" w:eastAsia="Calibri" w:hAnsi="David"/>
          <w:b/>
          <w:bCs/>
          <w:noProof w:val="0"/>
          <w:rtl/>
        </w:rPr>
        <w:t>ועד</w:t>
      </w:r>
      <w:r w:rsidRPr="0078256A">
        <w:rPr>
          <w:rFonts w:ascii="David" w:eastAsia="Calibri" w:hAnsi="David"/>
          <w:b/>
          <w:bCs/>
          <w:noProof w:val="0"/>
        </w:rPr>
        <w:t xml:space="preserve"> </w:t>
      </w:r>
      <w:r w:rsidRPr="0078256A">
        <w:rPr>
          <w:rFonts w:ascii="David" w:eastAsia="Calibri" w:hAnsi="David"/>
          <w:b/>
          <w:bCs/>
          <w:noProof w:val="0"/>
          <w:rtl/>
        </w:rPr>
        <w:t>לתשלום</w:t>
      </w:r>
      <w:r w:rsidRPr="0078256A">
        <w:rPr>
          <w:rFonts w:ascii="David" w:eastAsia="Calibri" w:hAnsi="David"/>
          <w:b/>
          <w:bCs/>
          <w:noProof w:val="0"/>
        </w:rPr>
        <w:t xml:space="preserve"> </w:t>
      </w:r>
      <w:r w:rsidRPr="0078256A">
        <w:rPr>
          <w:rFonts w:ascii="David" w:eastAsia="Calibri" w:hAnsi="David"/>
          <w:b/>
          <w:bCs/>
          <w:noProof w:val="0"/>
          <w:rtl/>
        </w:rPr>
        <w:t>כתנאי</w:t>
      </w:r>
      <w:r w:rsidRPr="0078256A">
        <w:rPr>
          <w:rFonts w:ascii="David" w:eastAsia="Calibri" w:hAnsi="David"/>
          <w:b/>
          <w:bCs/>
          <w:noProof w:val="0"/>
        </w:rPr>
        <w:t xml:space="preserve"> </w:t>
      </w:r>
      <w:r w:rsidRPr="0078256A">
        <w:rPr>
          <w:rFonts w:ascii="David" w:eastAsia="Calibri" w:hAnsi="David"/>
          <w:b/>
          <w:bCs/>
          <w:noProof w:val="0"/>
          <w:rtl/>
        </w:rPr>
        <w:t>להליך דומה</w:t>
      </w:r>
      <w:r w:rsidRPr="0078256A">
        <w:rPr>
          <w:rFonts w:ascii="David" w:eastAsia="Calibri" w:hAnsi="David"/>
          <w:b/>
          <w:bCs/>
          <w:noProof w:val="0"/>
        </w:rPr>
        <w:t xml:space="preserve"> </w:t>
      </w:r>
      <w:r w:rsidRPr="0078256A">
        <w:rPr>
          <w:rFonts w:ascii="David" w:eastAsia="Calibri" w:hAnsi="David"/>
          <w:b/>
          <w:bCs/>
          <w:noProof w:val="0"/>
          <w:rtl/>
        </w:rPr>
        <w:t>שיוגש</w:t>
      </w:r>
      <w:r w:rsidRPr="0078256A">
        <w:rPr>
          <w:rFonts w:ascii="David" w:eastAsia="Calibri" w:hAnsi="David"/>
          <w:b/>
          <w:bCs/>
          <w:noProof w:val="0"/>
        </w:rPr>
        <w:t xml:space="preserve"> </w:t>
      </w:r>
      <w:r w:rsidRPr="0078256A">
        <w:rPr>
          <w:rFonts w:ascii="David" w:eastAsia="Calibri" w:hAnsi="David"/>
          <w:b/>
          <w:bCs/>
          <w:noProof w:val="0"/>
          <w:rtl/>
        </w:rPr>
        <w:t>על</w:t>
      </w:r>
      <w:r w:rsidRPr="0078256A">
        <w:rPr>
          <w:rFonts w:ascii="David" w:eastAsia="Calibri" w:hAnsi="David"/>
          <w:b/>
          <w:bCs/>
          <w:noProof w:val="0"/>
        </w:rPr>
        <w:t xml:space="preserve"> </w:t>
      </w:r>
      <w:r w:rsidRPr="0078256A">
        <w:rPr>
          <w:rFonts w:ascii="David" w:eastAsia="Calibri" w:hAnsi="David"/>
          <w:b/>
          <w:bCs/>
          <w:noProof w:val="0"/>
          <w:rtl/>
        </w:rPr>
        <w:t>ידו</w:t>
      </w:r>
      <w:r w:rsidRPr="0078256A">
        <w:rPr>
          <w:rFonts w:ascii="David" w:eastAsia="Calibri" w:hAnsi="David"/>
          <w:b/>
          <w:bCs/>
          <w:noProof w:val="0"/>
        </w:rPr>
        <w:t xml:space="preserve">. </w:t>
      </w:r>
      <w:r w:rsidRPr="0078256A">
        <w:rPr>
          <w:rFonts w:ascii="David" w:eastAsia="Calibri" w:hAnsi="David"/>
          <w:b/>
          <w:bCs/>
          <w:noProof w:val="0"/>
          <w:rtl/>
        </w:rPr>
        <w:t>"</w:t>
      </w:r>
    </w:p>
    <w:p w:rsidR="0078256A" w:rsidRPr="0078256A" w:rsidRDefault="0078256A" w:rsidP="0078256A">
      <w:pPr>
        <w:spacing w:before="240" w:after="240" w:line="360" w:lineRule="auto"/>
        <w:jc w:val="both"/>
        <w:rPr>
          <w:rFonts w:ascii="David" w:eastAsia="Calibri" w:hAnsi="David"/>
          <w:noProof w:val="0"/>
        </w:rPr>
      </w:pPr>
    </w:p>
    <w:p w:rsidR="0078256A" w:rsidRPr="0078256A" w:rsidRDefault="0078256A" w:rsidP="0078256A">
      <w:pPr>
        <w:spacing w:before="240" w:after="240" w:line="360" w:lineRule="auto"/>
        <w:jc w:val="both"/>
        <w:rPr>
          <w:rFonts w:ascii="David" w:eastAsia="Calibri" w:hAnsi="David"/>
          <w:b/>
          <w:bCs/>
          <w:noProof w:val="0"/>
          <w:u w:val="single"/>
          <w:rtl/>
        </w:rPr>
      </w:pPr>
      <w:r w:rsidRPr="0078256A">
        <w:rPr>
          <w:rFonts w:ascii="David" w:eastAsia="Calibri" w:hAnsi="David"/>
          <w:b/>
          <w:bCs/>
          <w:noProof w:val="0"/>
          <w:u w:val="single"/>
          <w:rtl/>
        </w:rPr>
        <w:t xml:space="preserve">טענות התובע </w:t>
      </w:r>
    </w:p>
    <w:p w:rsidR="0078256A" w:rsidRPr="0078256A" w:rsidRDefault="0078256A" w:rsidP="009A5776">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לפני כארבע שנים נותק הק</w:t>
      </w:r>
      <w:r w:rsidR="00185FA6">
        <w:rPr>
          <w:rFonts w:ascii="David" w:eastAsia="Calibri" w:hAnsi="David" w:hint="cs"/>
          <w:noProof w:val="0"/>
          <w:rtl/>
        </w:rPr>
        <w:t>ש</w:t>
      </w:r>
      <w:r w:rsidRPr="0078256A">
        <w:rPr>
          <w:rFonts w:ascii="David" w:eastAsia="Calibri" w:hAnsi="David"/>
          <w:noProof w:val="0"/>
          <w:rtl/>
        </w:rPr>
        <w:t>ר בינו לבין הקטינות וזאת בשל התנהגותה של הנתבעת</w:t>
      </w:r>
      <w:r w:rsidR="009A5776">
        <w:rPr>
          <w:rFonts w:ascii="David" w:eastAsia="Calibri" w:hAnsi="David" w:hint="cs"/>
          <w:noProof w:val="0"/>
          <w:rtl/>
        </w:rPr>
        <w:t>,</w:t>
      </w:r>
      <w:r w:rsidRPr="0078256A">
        <w:rPr>
          <w:rFonts w:ascii="David" w:eastAsia="Calibri" w:hAnsi="David"/>
          <w:noProof w:val="0"/>
          <w:rtl/>
        </w:rPr>
        <w:t xml:space="preserve"> אשר הציבה לתובע תנאים לקיום הסדרים</w:t>
      </w:r>
      <w:r w:rsidR="009A5776">
        <w:rPr>
          <w:rFonts w:ascii="David" w:eastAsia="Calibri" w:hAnsi="David" w:hint="cs"/>
          <w:noProof w:val="0"/>
          <w:rtl/>
        </w:rPr>
        <w:t>,</w:t>
      </w:r>
      <w:r w:rsidRPr="0078256A">
        <w:rPr>
          <w:rFonts w:ascii="David" w:eastAsia="Calibri" w:hAnsi="David"/>
          <w:noProof w:val="0"/>
          <w:rtl/>
        </w:rPr>
        <w:t xml:space="preserve"> בהם התובע לא יכל לעמוד</w:t>
      </w:r>
      <w:r w:rsidR="009A5776">
        <w:rPr>
          <w:rFonts w:ascii="David" w:eastAsia="Calibri" w:hAnsi="David" w:hint="cs"/>
          <w:noProof w:val="0"/>
          <w:rtl/>
        </w:rPr>
        <w:t xml:space="preserve">. </w:t>
      </w:r>
      <w:r w:rsidRPr="0078256A">
        <w:rPr>
          <w:rFonts w:ascii="David" w:eastAsia="Calibri" w:hAnsi="David"/>
          <w:noProof w:val="0"/>
          <w:rtl/>
        </w:rPr>
        <w:t>במסגרת מאמצי התובע לחידוש הקשר עם הקטינות פנה להליך י"ס ולהפתעתו נודה לו כי הנתבעת עזבה את הארץ עם הקטינות ללא ידיעתו והסכמתו ובניגוד למצוין בפסק הדין מיום 15.6.2020 בתיק 59040-11-19.</w:t>
      </w:r>
    </w:p>
    <w:p w:rsidR="0078256A" w:rsidRPr="0078256A" w:rsidRDefault="0078256A" w:rsidP="0078256A">
      <w:pPr>
        <w:spacing w:before="240" w:after="240" w:line="360" w:lineRule="auto"/>
        <w:ind w:left="1080"/>
        <w:contextualSpacing/>
        <w:jc w:val="both"/>
        <w:rPr>
          <w:rFonts w:ascii="David" w:eastAsia="Calibri" w:hAnsi="David"/>
          <w:noProof w:val="0"/>
        </w:rPr>
      </w:pPr>
    </w:p>
    <w:p w:rsidR="0078256A" w:rsidRPr="0078256A" w:rsidRDefault="009A5776" w:rsidP="009A5776">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 xml:space="preserve">התובע </w:t>
      </w:r>
      <w:r w:rsidR="0078256A" w:rsidRPr="0078256A">
        <w:rPr>
          <w:rFonts w:ascii="David" w:eastAsia="Calibri" w:hAnsi="David"/>
          <w:noProof w:val="0"/>
          <w:rtl/>
        </w:rPr>
        <w:t>החל בהלי</w:t>
      </w:r>
      <w:r>
        <w:rPr>
          <w:rFonts w:ascii="David" w:eastAsia="Calibri" w:hAnsi="David" w:hint="cs"/>
          <w:noProof w:val="0"/>
          <w:rtl/>
        </w:rPr>
        <w:t>כי</w:t>
      </w:r>
      <w:r w:rsidR="0078256A" w:rsidRPr="0078256A">
        <w:rPr>
          <w:rFonts w:ascii="David" w:eastAsia="Calibri" w:hAnsi="David"/>
          <w:noProof w:val="0"/>
          <w:rtl/>
        </w:rPr>
        <w:t xml:space="preserve"> פש"ר בגין חובות</w:t>
      </w:r>
      <w:r>
        <w:rPr>
          <w:rFonts w:ascii="David" w:eastAsia="Calibri" w:hAnsi="David" w:hint="cs"/>
          <w:noProof w:val="0"/>
          <w:rtl/>
        </w:rPr>
        <w:t xml:space="preserve">יו </w:t>
      </w:r>
      <w:r w:rsidR="0078256A" w:rsidRPr="0078256A">
        <w:rPr>
          <w:rFonts w:ascii="David" w:eastAsia="Calibri" w:hAnsi="David"/>
          <w:noProof w:val="0"/>
          <w:rtl/>
        </w:rPr>
        <w:t>העומדים על מאות אלפי שקלים, בגלל עסק</w:t>
      </w:r>
      <w:r>
        <w:rPr>
          <w:rFonts w:ascii="David" w:eastAsia="Calibri" w:hAnsi="David" w:hint="cs"/>
          <w:noProof w:val="0"/>
          <w:rtl/>
        </w:rPr>
        <w:t>י</w:t>
      </w:r>
      <w:r w:rsidR="0078256A" w:rsidRPr="0078256A">
        <w:rPr>
          <w:rFonts w:ascii="David" w:eastAsia="Calibri" w:hAnsi="David"/>
          <w:noProof w:val="0"/>
          <w:rtl/>
        </w:rPr>
        <w:t>ו אשר כשלו</w:t>
      </w:r>
      <w:r>
        <w:rPr>
          <w:rFonts w:ascii="David" w:eastAsia="Calibri" w:hAnsi="David" w:hint="cs"/>
          <w:noProof w:val="0"/>
          <w:rtl/>
        </w:rPr>
        <w:t xml:space="preserve">, </w:t>
      </w:r>
      <w:r w:rsidR="0078256A" w:rsidRPr="0078256A">
        <w:rPr>
          <w:rFonts w:ascii="David" w:eastAsia="Calibri" w:hAnsi="David"/>
          <w:noProof w:val="0"/>
          <w:rtl/>
        </w:rPr>
        <w:t xml:space="preserve"> בין היתר במהלך נישואי הצדדים</w:t>
      </w:r>
      <w:r>
        <w:rPr>
          <w:rFonts w:ascii="David" w:eastAsia="Calibri" w:hAnsi="David" w:hint="cs"/>
          <w:noProof w:val="0"/>
          <w:rtl/>
        </w:rPr>
        <w:t>.  ב</w:t>
      </w:r>
      <w:r w:rsidR="0078256A" w:rsidRPr="0078256A">
        <w:rPr>
          <w:rFonts w:ascii="David" w:eastAsia="Calibri" w:hAnsi="David"/>
          <w:noProof w:val="0"/>
          <w:rtl/>
        </w:rPr>
        <w:t>היעדר יכולת כלכלית לתשלום החיובים</w:t>
      </w:r>
      <w:r>
        <w:rPr>
          <w:rFonts w:ascii="David" w:eastAsia="Calibri" w:hAnsi="David" w:hint="cs"/>
          <w:noProof w:val="0"/>
          <w:rtl/>
        </w:rPr>
        <w:t>,</w:t>
      </w:r>
      <w:r w:rsidR="0078256A" w:rsidRPr="0078256A">
        <w:rPr>
          <w:rFonts w:ascii="David" w:eastAsia="Calibri" w:hAnsi="David"/>
          <w:noProof w:val="0"/>
          <w:rtl/>
        </w:rPr>
        <w:t xml:space="preserve"> ובעיקר מזונות הקטינות הליך הפש"ר נסגר. </w:t>
      </w:r>
      <w:r>
        <w:rPr>
          <w:rFonts w:ascii="David" w:eastAsia="Calibri" w:hAnsi="David" w:hint="cs"/>
          <w:noProof w:val="0"/>
          <w:rtl/>
        </w:rPr>
        <w:t xml:space="preserve"> </w:t>
      </w:r>
      <w:r w:rsidR="0078256A" w:rsidRPr="0078256A">
        <w:rPr>
          <w:rFonts w:ascii="David" w:eastAsia="Calibri" w:hAnsi="David"/>
          <w:noProof w:val="0"/>
          <w:rtl/>
        </w:rPr>
        <w:t>התובע חושש מנקיטה בהליכים מבצעיים נגדו ובעיקר הוצאת פקודת מאסר כפ</w:t>
      </w:r>
      <w:r>
        <w:rPr>
          <w:rFonts w:ascii="David" w:eastAsia="Calibri" w:hAnsi="David" w:hint="cs"/>
          <w:noProof w:val="0"/>
          <w:rtl/>
        </w:rPr>
        <w:t>י</w:t>
      </w:r>
      <w:r w:rsidR="0078256A" w:rsidRPr="0078256A">
        <w:rPr>
          <w:rFonts w:ascii="David" w:eastAsia="Calibri" w:hAnsi="David"/>
          <w:noProof w:val="0"/>
          <w:rtl/>
        </w:rPr>
        <w:t xml:space="preserve"> שנהגה הנתבעת מאז ומתמיד, דבר שיחריף את מצבו הכלכלי הקשה.</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9A5776" w:rsidP="009A397A">
      <w:pPr>
        <w:numPr>
          <w:ilvl w:val="0"/>
          <w:numId w:val="1"/>
        </w:numPr>
        <w:spacing w:before="240" w:after="240" w:line="360" w:lineRule="auto"/>
        <w:contextualSpacing/>
        <w:jc w:val="both"/>
        <w:rPr>
          <w:rFonts w:ascii="David" w:eastAsia="Calibri" w:hAnsi="David"/>
          <w:noProof w:val="0"/>
          <w:rtl/>
        </w:rPr>
      </w:pPr>
      <w:r>
        <w:rPr>
          <w:rFonts w:ascii="David" w:eastAsia="Calibri" w:hAnsi="David" w:hint="cs"/>
          <w:noProof w:val="0"/>
          <w:rtl/>
        </w:rPr>
        <w:t xml:space="preserve">התובע </w:t>
      </w:r>
      <w:r w:rsidR="0078256A" w:rsidRPr="0078256A">
        <w:rPr>
          <w:rFonts w:ascii="David" w:eastAsia="Calibri" w:hAnsi="David"/>
          <w:noProof w:val="0"/>
          <w:rtl/>
        </w:rPr>
        <w:t>אינו עובד</w:t>
      </w:r>
      <w:r>
        <w:rPr>
          <w:rFonts w:ascii="David" w:eastAsia="Calibri" w:hAnsi="David" w:hint="cs"/>
          <w:noProof w:val="0"/>
          <w:rtl/>
        </w:rPr>
        <w:t>,</w:t>
      </w:r>
      <w:r w:rsidR="0078256A" w:rsidRPr="0078256A">
        <w:rPr>
          <w:rFonts w:ascii="David" w:eastAsia="Calibri" w:hAnsi="David"/>
          <w:noProof w:val="0"/>
          <w:rtl/>
        </w:rPr>
        <w:t xml:space="preserve"> מתקיים מדמי אבטלה מחודש מרץ  2020 בסך 3,000 ₪ בחודש</w:t>
      </w:r>
      <w:r>
        <w:rPr>
          <w:rFonts w:ascii="David" w:eastAsia="Calibri" w:hAnsi="David" w:hint="cs"/>
          <w:noProof w:val="0"/>
          <w:rtl/>
        </w:rPr>
        <w:t xml:space="preserve">, </w:t>
      </w:r>
      <w:r w:rsidR="0078256A" w:rsidRPr="0078256A">
        <w:rPr>
          <w:rFonts w:ascii="David" w:eastAsia="Calibri" w:hAnsi="David"/>
          <w:noProof w:val="0"/>
          <w:rtl/>
        </w:rPr>
        <w:t xml:space="preserve"> אשר מעוקלים לטובת חוב המזונות</w:t>
      </w:r>
      <w:r>
        <w:rPr>
          <w:rFonts w:ascii="David" w:eastAsia="Calibri" w:hAnsi="David" w:hint="cs"/>
          <w:noProof w:val="0"/>
          <w:rtl/>
        </w:rPr>
        <w:t xml:space="preserve">. </w:t>
      </w:r>
      <w:r w:rsidR="0078256A" w:rsidRPr="0078256A">
        <w:rPr>
          <w:rFonts w:ascii="David" w:eastAsia="Calibri" w:hAnsi="David"/>
          <w:noProof w:val="0"/>
          <w:rtl/>
        </w:rPr>
        <w:t xml:space="preserve">כל ניסיון לשפר </w:t>
      </w:r>
      <w:r>
        <w:rPr>
          <w:rFonts w:ascii="David" w:eastAsia="Calibri" w:hAnsi="David" w:hint="cs"/>
          <w:noProof w:val="0"/>
          <w:rtl/>
        </w:rPr>
        <w:t xml:space="preserve">את </w:t>
      </w:r>
      <w:r w:rsidR="0078256A" w:rsidRPr="0078256A">
        <w:rPr>
          <w:rFonts w:ascii="David" w:eastAsia="Calibri" w:hAnsi="David"/>
          <w:noProof w:val="0"/>
          <w:rtl/>
        </w:rPr>
        <w:t>מצבו הכלכלי ולהתחיל עבודה חדשה</w:t>
      </w:r>
      <w:r>
        <w:rPr>
          <w:rFonts w:ascii="David" w:eastAsia="Calibri" w:hAnsi="David" w:hint="cs"/>
          <w:noProof w:val="0"/>
          <w:rtl/>
        </w:rPr>
        <w:t xml:space="preserve">, </w:t>
      </w:r>
      <w:r w:rsidR="0078256A" w:rsidRPr="0078256A">
        <w:rPr>
          <w:rFonts w:ascii="David" w:eastAsia="Calibri" w:hAnsi="David"/>
          <w:noProof w:val="0"/>
          <w:rtl/>
        </w:rPr>
        <w:t>כשל</w:t>
      </w:r>
      <w:r>
        <w:rPr>
          <w:rFonts w:ascii="David" w:eastAsia="Calibri" w:hAnsi="David" w:hint="cs"/>
          <w:noProof w:val="0"/>
          <w:rtl/>
        </w:rPr>
        <w:t xml:space="preserve">, זאת </w:t>
      </w:r>
      <w:r w:rsidR="0078256A" w:rsidRPr="0078256A">
        <w:rPr>
          <w:rFonts w:ascii="David" w:eastAsia="Calibri" w:hAnsi="David"/>
          <w:noProof w:val="0"/>
          <w:rtl/>
        </w:rPr>
        <w:t xml:space="preserve">נוכח התפשטות </w:t>
      </w:r>
      <w:r>
        <w:rPr>
          <w:rFonts w:ascii="David" w:eastAsia="Calibri" w:hAnsi="David" w:hint="cs"/>
          <w:noProof w:val="0"/>
          <w:rtl/>
        </w:rPr>
        <w:t xml:space="preserve">מחלת </w:t>
      </w:r>
      <w:r w:rsidR="0078256A" w:rsidRPr="0078256A">
        <w:rPr>
          <w:rFonts w:ascii="David" w:eastAsia="Calibri" w:hAnsi="David"/>
          <w:noProof w:val="0"/>
          <w:rtl/>
        </w:rPr>
        <w:t xml:space="preserve">הקורונה והמצב הכלכלי שנגרם. </w:t>
      </w:r>
      <w:r>
        <w:rPr>
          <w:rFonts w:ascii="David" w:eastAsia="Calibri" w:hAnsi="David" w:hint="cs"/>
          <w:noProof w:val="0"/>
          <w:rtl/>
        </w:rPr>
        <w:t xml:space="preserve">התובע </w:t>
      </w:r>
      <w:r w:rsidR="0078256A" w:rsidRPr="0078256A">
        <w:rPr>
          <w:rFonts w:ascii="David" w:eastAsia="Calibri" w:hAnsi="David"/>
          <w:noProof w:val="0"/>
          <w:rtl/>
        </w:rPr>
        <w:t>אינו יכול לעמוד בתשלום המזונות העומדים על סך של 5,900 ₪ בחודש. ה</w:t>
      </w:r>
      <w:r w:rsidR="00EC1A1B">
        <w:rPr>
          <w:rFonts w:ascii="David" w:eastAsia="Calibri" w:hAnsi="David" w:hint="cs"/>
          <w:noProof w:val="0"/>
          <w:rtl/>
        </w:rPr>
        <w:t xml:space="preserve">תובע </w:t>
      </w:r>
      <w:r w:rsidR="0078256A" w:rsidRPr="0078256A">
        <w:rPr>
          <w:rFonts w:ascii="David" w:eastAsia="Calibri" w:hAnsi="David"/>
          <w:noProof w:val="0"/>
          <w:rtl/>
        </w:rPr>
        <w:t xml:space="preserve">נעזר </w:t>
      </w:r>
      <w:r w:rsidR="00EC1A1B">
        <w:rPr>
          <w:rFonts w:ascii="David" w:eastAsia="Calibri" w:hAnsi="David" w:hint="cs"/>
          <w:noProof w:val="0"/>
          <w:rtl/>
        </w:rPr>
        <w:t>ב</w:t>
      </w:r>
      <w:r w:rsidR="0078256A" w:rsidRPr="0078256A">
        <w:rPr>
          <w:rFonts w:ascii="David" w:eastAsia="Calibri" w:hAnsi="David"/>
          <w:noProof w:val="0"/>
          <w:rtl/>
        </w:rPr>
        <w:t>אחותו</w:t>
      </w:r>
      <w:r w:rsidR="00EC1A1B">
        <w:rPr>
          <w:rFonts w:ascii="David" w:eastAsia="Calibri" w:hAnsi="David" w:hint="cs"/>
          <w:noProof w:val="0"/>
          <w:rtl/>
        </w:rPr>
        <w:t xml:space="preserve">, המסייעת </w:t>
      </w:r>
      <w:r w:rsidR="0078256A" w:rsidRPr="0078256A">
        <w:rPr>
          <w:rFonts w:ascii="David" w:eastAsia="Calibri" w:hAnsi="David"/>
          <w:noProof w:val="0"/>
          <w:rtl/>
        </w:rPr>
        <w:t xml:space="preserve">לו </w:t>
      </w:r>
      <w:r w:rsidR="0078256A" w:rsidRPr="0078256A">
        <w:rPr>
          <w:rFonts w:ascii="David" w:eastAsia="Calibri" w:hAnsi="David"/>
          <w:noProof w:val="0"/>
          <w:rtl/>
        </w:rPr>
        <w:lastRenderedPageBreak/>
        <w:t>כלכלית</w:t>
      </w:r>
      <w:r w:rsidR="00EC1A1B">
        <w:rPr>
          <w:rFonts w:ascii="David" w:eastAsia="Calibri" w:hAnsi="David" w:hint="cs"/>
          <w:noProof w:val="0"/>
          <w:rtl/>
        </w:rPr>
        <w:t xml:space="preserve">, </w:t>
      </w:r>
      <w:r w:rsidR="0078256A" w:rsidRPr="0078256A">
        <w:rPr>
          <w:rFonts w:ascii="David" w:eastAsia="Calibri" w:hAnsi="David"/>
          <w:noProof w:val="0"/>
          <w:rtl/>
        </w:rPr>
        <w:t xml:space="preserve"> והוא </w:t>
      </w:r>
      <w:r w:rsidR="00EC1A1B">
        <w:rPr>
          <w:rFonts w:ascii="David" w:eastAsia="Calibri" w:hAnsi="David" w:hint="cs"/>
          <w:noProof w:val="0"/>
          <w:rtl/>
        </w:rPr>
        <w:t xml:space="preserve">אף </w:t>
      </w:r>
      <w:r w:rsidR="0078256A" w:rsidRPr="0078256A">
        <w:rPr>
          <w:rFonts w:ascii="David" w:eastAsia="Calibri" w:hAnsi="David"/>
          <w:noProof w:val="0"/>
          <w:rtl/>
        </w:rPr>
        <w:t>מתגורר בביתה</w:t>
      </w:r>
      <w:r w:rsidR="00EC1A1B">
        <w:rPr>
          <w:rFonts w:ascii="David" w:eastAsia="Calibri" w:hAnsi="David" w:hint="cs"/>
          <w:noProof w:val="0"/>
          <w:rtl/>
        </w:rPr>
        <w:t xml:space="preserve">, הכל </w:t>
      </w:r>
      <w:r w:rsidR="0078256A" w:rsidRPr="0078256A">
        <w:rPr>
          <w:rFonts w:ascii="David" w:eastAsia="Calibri" w:hAnsi="David"/>
          <w:noProof w:val="0"/>
          <w:rtl/>
        </w:rPr>
        <w:t xml:space="preserve"> </w:t>
      </w:r>
      <w:r w:rsidR="00EC1A1B">
        <w:rPr>
          <w:rFonts w:ascii="David" w:eastAsia="Calibri" w:hAnsi="David" w:hint="cs"/>
          <w:noProof w:val="0"/>
          <w:rtl/>
        </w:rPr>
        <w:t>לנוכח מ</w:t>
      </w:r>
      <w:r w:rsidR="0078256A" w:rsidRPr="0078256A">
        <w:rPr>
          <w:rFonts w:ascii="David" w:eastAsia="Calibri" w:hAnsi="David"/>
          <w:noProof w:val="0"/>
          <w:rtl/>
        </w:rPr>
        <w:t xml:space="preserve">צבו הכלכלי </w:t>
      </w:r>
      <w:r w:rsidR="00EC1A1B">
        <w:rPr>
          <w:rFonts w:ascii="David" w:eastAsia="Calibri" w:hAnsi="David" w:hint="cs"/>
          <w:noProof w:val="0"/>
          <w:rtl/>
        </w:rPr>
        <w:t xml:space="preserve">הקשה, שאינו מאפשר לו </w:t>
      </w:r>
      <w:r w:rsidR="0078256A" w:rsidRPr="0078256A">
        <w:rPr>
          <w:rFonts w:ascii="David" w:eastAsia="Calibri" w:hAnsi="David"/>
          <w:noProof w:val="0"/>
          <w:rtl/>
        </w:rPr>
        <w:t>להשכיר דירה למגורי</w:t>
      </w:r>
      <w:r w:rsidR="00EC1A1B">
        <w:rPr>
          <w:rFonts w:ascii="David" w:eastAsia="Calibri" w:hAnsi="David" w:hint="cs"/>
          <w:noProof w:val="0"/>
          <w:rtl/>
        </w:rPr>
        <w:t>ו</w:t>
      </w:r>
      <w:r w:rsidR="0078256A" w:rsidRPr="0078256A">
        <w:rPr>
          <w:rFonts w:ascii="David" w:eastAsia="Calibri" w:hAnsi="David"/>
          <w:noProof w:val="0"/>
          <w:rtl/>
        </w:rPr>
        <w:t>.</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EC1A1B">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בהתאם להלכה הפסוקה</w:t>
      </w:r>
      <w:r w:rsidR="00EC1A1B">
        <w:rPr>
          <w:rFonts w:ascii="David" w:eastAsia="Calibri" w:hAnsi="David" w:hint="cs"/>
          <w:noProof w:val="0"/>
          <w:rtl/>
        </w:rPr>
        <w:t xml:space="preserve">, חל שינוי נסיבות מהותי </w:t>
      </w:r>
      <w:r w:rsidRPr="0078256A">
        <w:rPr>
          <w:rFonts w:ascii="David" w:eastAsia="Calibri" w:hAnsi="David"/>
          <w:noProof w:val="0"/>
          <w:rtl/>
        </w:rPr>
        <w:t>מיום מתן פסק הדין בשנת 2016 ועד למועד הגשת התביעה</w:t>
      </w:r>
      <w:r w:rsidR="00EC1A1B">
        <w:rPr>
          <w:rFonts w:ascii="David" w:eastAsia="Calibri" w:hAnsi="David" w:hint="cs"/>
          <w:noProof w:val="0"/>
          <w:rtl/>
        </w:rPr>
        <w:t xml:space="preserve">, </w:t>
      </w:r>
      <w:r w:rsidRPr="0078256A">
        <w:rPr>
          <w:rFonts w:ascii="David" w:eastAsia="Calibri" w:hAnsi="David"/>
          <w:noProof w:val="0"/>
          <w:rtl/>
        </w:rPr>
        <w:t xml:space="preserve"> אשר מצדיק את התערבותו של בית המשפט</w:t>
      </w:r>
      <w:r w:rsidR="00EC1A1B">
        <w:rPr>
          <w:rFonts w:ascii="David" w:eastAsia="Calibri" w:hAnsi="David" w:hint="cs"/>
          <w:noProof w:val="0"/>
          <w:rtl/>
        </w:rPr>
        <w:t xml:space="preserve">, ומתן החלטה על </w:t>
      </w:r>
      <w:r w:rsidRPr="0078256A">
        <w:rPr>
          <w:rFonts w:ascii="David" w:eastAsia="Calibri" w:hAnsi="David"/>
          <w:noProof w:val="0"/>
          <w:rtl/>
        </w:rPr>
        <w:t>הפחתת דמי  המזונות הגבוהים שנפסקו.</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EC1A1B">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הנתבעת מנהלת את עסקיו של אביה</w:t>
      </w:r>
      <w:r w:rsidR="00EC1A1B">
        <w:rPr>
          <w:rFonts w:ascii="David" w:eastAsia="Calibri" w:hAnsi="David" w:hint="cs"/>
          <w:noProof w:val="0"/>
          <w:rtl/>
        </w:rPr>
        <w:t xml:space="preserve"> </w:t>
      </w:r>
      <w:r w:rsidRPr="0078256A">
        <w:rPr>
          <w:rFonts w:ascii="David" w:eastAsia="Calibri" w:hAnsi="David"/>
          <w:noProof w:val="0"/>
          <w:rtl/>
        </w:rPr>
        <w:t>בקפריסין</w:t>
      </w:r>
      <w:r w:rsidR="00EC1A1B">
        <w:rPr>
          <w:rFonts w:ascii="David" w:eastAsia="Calibri" w:hAnsi="David" w:hint="cs"/>
          <w:noProof w:val="0"/>
          <w:rtl/>
        </w:rPr>
        <w:t xml:space="preserve">, </w:t>
      </w:r>
      <w:r w:rsidRPr="0078256A">
        <w:rPr>
          <w:rFonts w:ascii="David" w:eastAsia="Calibri" w:hAnsi="David"/>
          <w:noProof w:val="0"/>
          <w:rtl/>
        </w:rPr>
        <w:t xml:space="preserve"> מדינה בה היא מתגוררת עם הקטינות</w:t>
      </w:r>
      <w:r w:rsidR="00EC1A1B">
        <w:rPr>
          <w:rFonts w:ascii="David" w:eastAsia="Calibri" w:hAnsi="David" w:hint="cs"/>
          <w:noProof w:val="0"/>
          <w:rtl/>
        </w:rPr>
        <w:t>. ש</w:t>
      </w:r>
      <w:r w:rsidRPr="0078256A">
        <w:rPr>
          <w:rFonts w:ascii="David" w:eastAsia="Calibri" w:hAnsi="David"/>
          <w:noProof w:val="0"/>
          <w:rtl/>
        </w:rPr>
        <w:t xml:space="preserve">כרה עומד על עשרות אלפי שקלים בחודש. </w:t>
      </w:r>
      <w:r w:rsidR="00EC1A1B">
        <w:rPr>
          <w:rFonts w:ascii="David" w:eastAsia="Calibri" w:hAnsi="David" w:hint="cs"/>
          <w:noProof w:val="0"/>
          <w:rtl/>
        </w:rPr>
        <w:t xml:space="preserve"> </w:t>
      </w:r>
      <w:r w:rsidRPr="0078256A">
        <w:rPr>
          <w:rFonts w:ascii="David" w:eastAsia="Calibri" w:hAnsi="David"/>
          <w:noProof w:val="0"/>
          <w:rtl/>
        </w:rPr>
        <w:t>לנתבעת אין הוצאות ודמי מדור שכן היא מתגוררת בדירה של אביה ללא תמורה.</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EC1A1B">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 xml:space="preserve">בהתאם להלכה בבע"מ 919/15 במסגרתו הוחל שוויון וצדק בין אבות </w:t>
      </w:r>
      <w:r w:rsidR="00EC1A1B" w:rsidRPr="0078256A">
        <w:rPr>
          <w:rFonts w:ascii="David" w:eastAsia="Calibri" w:hAnsi="David" w:hint="cs"/>
          <w:noProof w:val="0"/>
          <w:rtl/>
        </w:rPr>
        <w:t>ואימהו</w:t>
      </w:r>
      <w:r w:rsidR="00EC1A1B" w:rsidRPr="0078256A">
        <w:rPr>
          <w:rFonts w:ascii="David" w:eastAsia="Calibri" w:hAnsi="David" w:hint="eastAsia"/>
          <w:noProof w:val="0"/>
          <w:rtl/>
        </w:rPr>
        <w:t>ת</w:t>
      </w:r>
      <w:r w:rsidR="00EC1A1B">
        <w:rPr>
          <w:rFonts w:ascii="David" w:eastAsia="Calibri" w:hAnsi="David" w:hint="cs"/>
          <w:noProof w:val="0"/>
          <w:rtl/>
        </w:rPr>
        <w:t>,</w:t>
      </w:r>
      <w:r w:rsidRPr="0078256A">
        <w:rPr>
          <w:rFonts w:ascii="David" w:eastAsia="Calibri" w:hAnsi="David"/>
          <w:noProof w:val="0"/>
          <w:rtl/>
        </w:rPr>
        <w:t xml:space="preserve"> בהתייחס לחיוב מזונות ילדים קטינים שגילם החל מ-6 ועד 15 שנים. הותרת המזונות כפי שהם אינם מאפשרים לו לעמוד בתשלומים</w:t>
      </w:r>
      <w:r w:rsidR="00EC1A1B">
        <w:rPr>
          <w:rFonts w:ascii="David" w:eastAsia="Calibri" w:hAnsi="David" w:hint="cs"/>
          <w:noProof w:val="0"/>
          <w:rtl/>
        </w:rPr>
        <w:t xml:space="preserve">, על כן </w:t>
      </w:r>
      <w:r w:rsidRPr="0078256A">
        <w:rPr>
          <w:rFonts w:ascii="David" w:eastAsia="Calibri" w:hAnsi="David"/>
          <w:noProof w:val="0"/>
          <w:rtl/>
        </w:rPr>
        <w:t xml:space="preserve">עותר </w:t>
      </w:r>
      <w:r w:rsidR="00EC1A1B">
        <w:rPr>
          <w:rFonts w:ascii="David" w:eastAsia="Calibri" w:hAnsi="David" w:hint="cs"/>
          <w:noProof w:val="0"/>
          <w:rtl/>
        </w:rPr>
        <w:t xml:space="preserve">התובע </w:t>
      </w:r>
      <w:r w:rsidRPr="0078256A">
        <w:rPr>
          <w:rFonts w:ascii="David" w:eastAsia="Calibri" w:hAnsi="David"/>
          <w:noProof w:val="0"/>
          <w:rtl/>
        </w:rPr>
        <w:t xml:space="preserve">להפחתת </w:t>
      </w:r>
      <w:r w:rsidR="00EC1A1B">
        <w:rPr>
          <w:rFonts w:ascii="David" w:eastAsia="Calibri" w:hAnsi="David" w:hint="cs"/>
          <w:noProof w:val="0"/>
          <w:rtl/>
        </w:rPr>
        <w:t xml:space="preserve">דמי </w:t>
      </w:r>
      <w:r w:rsidRPr="0078256A">
        <w:rPr>
          <w:rFonts w:ascii="David" w:eastAsia="Calibri" w:hAnsi="David"/>
          <w:noProof w:val="0"/>
          <w:rtl/>
        </w:rPr>
        <w:t>מזונות הקטינות.</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78256A">
      <w:pPr>
        <w:spacing w:before="240" w:after="240" w:line="360" w:lineRule="auto"/>
        <w:jc w:val="both"/>
        <w:rPr>
          <w:rFonts w:ascii="David" w:eastAsia="Calibri" w:hAnsi="David"/>
          <w:b/>
          <w:bCs/>
          <w:noProof w:val="0"/>
          <w:u w:val="single"/>
          <w:rtl/>
        </w:rPr>
      </w:pPr>
      <w:r w:rsidRPr="0078256A">
        <w:rPr>
          <w:rFonts w:ascii="David" w:eastAsia="Calibri" w:hAnsi="David"/>
          <w:b/>
          <w:bCs/>
          <w:noProof w:val="0"/>
          <w:u w:val="single"/>
          <w:rtl/>
        </w:rPr>
        <w:t>טענות הנתבעת</w:t>
      </w:r>
    </w:p>
    <w:p w:rsidR="0078256A" w:rsidRPr="0078256A" w:rsidRDefault="0078256A" w:rsidP="00EC1A1B">
      <w:pPr>
        <w:numPr>
          <w:ilvl w:val="0"/>
          <w:numId w:val="1"/>
        </w:numPr>
        <w:spacing w:before="240" w:after="240" w:line="360" w:lineRule="auto"/>
        <w:contextualSpacing/>
        <w:jc w:val="both"/>
        <w:rPr>
          <w:rFonts w:ascii="David" w:eastAsia="Calibri" w:hAnsi="David"/>
          <w:noProof w:val="0"/>
          <w:rtl/>
        </w:rPr>
      </w:pPr>
      <w:r w:rsidRPr="0078256A">
        <w:rPr>
          <w:rFonts w:ascii="David" w:eastAsia="Calibri" w:hAnsi="David"/>
          <w:noProof w:val="0"/>
          <w:rtl/>
        </w:rPr>
        <w:t>התובע ממחזר את טענותיו</w:t>
      </w:r>
      <w:r w:rsidR="00EC1A1B">
        <w:rPr>
          <w:rFonts w:ascii="David" w:eastAsia="Calibri" w:hAnsi="David" w:hint="cs"/>
          <w:noProof w:val="0"/>
          <w:rtl/>
        </w:rPr>
        <w:t xml:space="preserve">, וסבור כי </w:t>
      </w:r>
      <w:r w:rsidRPr="0078256A">
        <w:rPr>
          <w:rFonts w:ascii="David" w:eastAsia="Calibri" w:hAnsi="David"/>
          <w:noProof w:val="0"/>
          <w:rtl/>
        </w:rPr>
        <w:t>אם יחזור על טענותיו מספר פעמים</w:t>
      </w:r>
      <w:r w:rsidR="00EC1A1B">
        <w:rPr>
          <w:rFonts w:ascii="David" w:eastAsia="Calibri" w:hAnsi="David" w:hint="cs"/>
          <w:noProof w:val="0"/>
          <w:rtl/>
        </w:rPr>
        <w:t>,</w:t>
      </w:r>
      <w:r w:rsidRPr="0078256A">
        <w:rPr>
          <w:rFonts w:ascii="David" w:eastAsia="Calibri" w:hAnsi="David"/>
          <w:noProof w:val="0"/>
          <w:rtl/>
        </w:rPr>
        <w:t xml:space="preserve"> </w:t>
      </w:r>
      <w:r w:rsidR="00EC1A1B">
        <w:rPr>
          <w:rFonts w:ascii="David" w:eastAsia="Calibri" w:hAnsi="David" w:hint="cs"/>
          <w:noProof w:val="0"/>
          <w:rtl/>
        </w:rPr>
        <w:t xml:space="preserve">יהפכו הטענות לאמת.  התובע אינו מצוי בקשר עם בנותיו </w:t>
      </w:r>
      <w:r w:rsidRPr="0078256A">
        <w:rPr>
          <w:rFonts w:ascii="David" w:eastAsia="Calibri" w:hAnsi="David"/>
          <w:noProof w:val="0"/>
          <w:rtl/>
        </w:rPr>
        <w:t>למעלה מ- 5 שנים</w:t>
      </w:r>
      <w:r w:rsidR="00EC1A1B">
        <w:rPr>
          <w:rFonts w:ascii="David" w:eastAsia="Calibri" w:hAnsi="David" w:hint="cs"/>
          <w:noProof w:val="0"/>
          <w:rtl/>
        </w:rPr>
        <w:t xml:space="preserve">.  מלוא </w:t>
      </w:r>
      <w:r w:rsidRPr="0078256A">
        <w:rPr>
          <w:rFonts w:ascii="David" w:eastAsia="Calibri" w:hAnsi="David"/>
          <w:noProof w:val="0"/>
          <w:rtl/>
        </w:rPr>
        <w:t xml:space="preserve">נטל גידול הקטינות נופל אך ורק על כתפי </w:t>
      </w:r>
      <w:r w:rsidR="00EC1A1B">
        <w:rPr>
          <w:rFonts w:ascii="David" w:eastAsia="Calibri" w:hAnsi="David" w:hint="cs"/>
          <w:noProof w:val="0"/>
          <w:rtl/>
        </w:rPr>
        <w:t xml:space="preserve">הנתבעת, </w:t>
      </w:r>
      <w:r w:rsidRPr="0078256A">
        <w:rPr>
          <w:rFonts w:ascii="David" w:eastAsia="Calibri" w:hAnsi="David"/>
          <w:noProof w:val="0"/>
          <w:rtl/>
        </w:rPr>
        <w:t xml:space="preserve">שעה שהתובע בחר להתנתק מהקטינות. </w:t>
      </w:r>
      <w:r w:rsidR="00EC1A1B">
        <w:rPr>
          <w:rFonts w:ascii="David" w:eastAsia="Calibri" w:hAnsi="David" w:hint="cs"/>
          <w:noProof w:val="0"/>
          <w:rtl/>
        </w:rPr>
        <w:t xml:space="preserve"> </w:t>
      </w:r>
      <w:r w:rsidRPr="0078256A">
        <w:rPr>
          <w:rFonts w:ascii="David" w:eastAsia="Calibri" w:hAnsi="David"/>
          <w:noProof w:val="0"/>
          <w:rtl/>
        </w:rPr>
        <w:t>לאורך כל ההליכים, לרבות הליך המזונות, לא הראה התובע רצינות כלל</w:t>
      </w:r>
      <w:r w:rsidR="00EC1A1B">
        <w:rPr>
          <w:rFonts w:ascii="David" w:eastAsia="Calibri" w:hAnsi="David" w:hint="cs"/>
          <w:noProof w:val="0"/>
          <w:rtl/>
        </w:rPr>
        <w:t xml:space="preserve">, </w:t>
      </w:r>
      <w:r w:rsidRPr="0078256A">
        <w:rPr>
          <w:rFonts w:ascii="David" w:eastAsia="Calibri" w:hAnsi="David"/>
          <w:noProof w:val="0"/>
          <w:rtl/>
        </w:rPr>
        <w:t>לא שילם את המזונות שנקבעו</w:t>
      </w:r>
      <w:r w:rsidR="00EC1A1B">
        <w:rPr>
          <w:rFonts w:ascii="David" w:eastAsia="Calibri" w:hAnsi="David" w:hint="cs"/>
          <w:noProof w:val="0"/>
          <w:rtl/>
        </w:rPr>
        <w:t xml:space="preserve">, ואף לא </w:t>
      </w:r>
      <w:r w:rsidRPr="0078256A">
        <w:rPr>
          <w:rFonts w:ascii="David" w:eastAsia="Calibri" w:hAnsi="David"/>
          <w:noProof w:val="0"/>
          <w:rtl/>
        </w:rPr>
        <w:t>חלק מ</w:t>
      </w:r>
      <w:r w:rsidR="00EC1A1B">
        <w:rPr>
          <w:rFonts w:ascii="David" w:eastAsia="Calibri" w:hAnsi="David" w:hint="cs"/>
          <w:noProof w:val="0"/>
          <w:rtl/>
        </w:rPr>
        <w:t>הסכום.  ר</w:t>
      </w:r>
      <w:r w:rsidRPr="0078256A">
        <w:rPr>
          <w:rFonts w:ascii="David" w:eastAsia="Calibri" w:hAnsi="David"/>
          <w:noProof w:val="0"/>
          <w:rtl/>
        </w:rPr>
        <w:t>ק לאחר ש</w:t>
      </w:r>
      <w:r w:rsidR="00EC1A1B">
        <w:rPr>
          <w:rFonts w:ascii="David" w:eastAsia="Calibri" w:hAnsi="David" w:hint="cs"/>
          <w:noProof w:val="0"/>
          <w:rtl/>
        </w:rPr>
        <w:t>חויב ל</w:t>
      </w:r>
      <w:r w:rsidRPr="0078256A">
        <w:rPr>
          <w:rFonts w:ascii="David" w:eastAsia="Calibri" w:hAnsi="David"/>
          <w:noProof w:val="0"/>
          <w:rtl/>
        </w:rPr>
        <w:t>העביר סכום מזונות</w:t>
      </w:r>
      <w:r w:rsidR="00EC1A1B">
        <w:rPr>
          <w:rFonts w:ascii="David" w:eastAsia="Calibri" w:hAnsi="David" w:hint="cs"/>
          <w:noProof w:val="0"/>
          <w:rtl/>
        </w:rPr>
        <w:t>, בהתאם לה</w:t>
      </w:r>
      <w:r w:rsidRPr="0078256A">
        <w:rPr>
          <w:rFonts w:ascii="David" w:eastAsia="Calibri" w:hAnsi="David"/>
          <w:noProof w:val="0"/>
          <w:rtl/>
        </w:rPr>
        <w:t>חלטת הוצאה לפועל, העביר למספר חודשים סכום של 3,900 ש״ח</w:t>
      </w:r>
      <w:r w:rsidR="009A397A">
        <w:rPr>
          <w:rFonts w:ascii="David" w:eastAsia="Calibri" w:hAnsi="David" w:hint="cs"/>
          <w:noProof w:val="0"/>
          <w:rtl/>
        </w:rPr>
        <w:t xml:space="preserve"> בלבד</w:t>
      </w:r>
      <w:r w:rsidRPr="0078256A">
        <w:rPr>
          <w:rFonts w:ascii="David" w:eastAsia="Calibri" w:hAnsi="David"/>
          <w:noProof w:val="0"/>
          <w:rtl/>
        </w:rPr>
        <w:t>.</w:t>
      </w:r>
    </w:p>
    <w:p w:rsidR="0078256A" w:rsidRPr="0078256A" w:rsidRDefault="0078256A" w:rsidP="0078256A">
      <w:pPr>
        <w:spacing w:before="240" w:after="240" w:line="360" w:lineRule="auto"/>
        <w:ind w:left="720"/>
        <w:contextualSpacing/>
        <w:jc w:val="both"/>
        <w:rPr>
          <w:rFonts w:ascii="David" w:eastAsia="Calibri" w:hAnsi="David"/>
          <w:noProof w:val="0"/>
        </w:rPr>
      </w:pPr>
    </w:p>
    <w:p w:rsidR="009A397A" w:rsidRDefault="0078256A" w:rsidP="009A397A">
      <w:pPr>
        <w:numPr>
          <w:ilvl w:val="0"/>
          <w:numId w:val="1"/>
        </w:numPr>
        <w:spacing w:before="240" w:after="240" w:line="360" w:lineRule="auto"/>
        <w:contextualSpacing/>
        <w:jc w:val="both"/>
        <w:rPr>
          <w:rFonts w:ascii="David" w:eastAsia="Calibri" w:hAnsi="David"/>
          <w:noProof w:val="0"/>
        </w:rPr>
      </w:pPr>
      <w:r w:rsidRPr="0078256A">
        <w:rPr>
          <w:rFonts w:ascii="David" w:eastAsia="Calibri" w:hAnsi="David"/>
          <w:noProof w:val="0"/>
          <w:rtl/>
        </w:rPr>
        <w:t xml:space="preserve">הנתבעת </w:t>
      </w:r>
      <w:r w:rsidR="009A397A">
        <w:rPr>
          <w:rFonts w:ascii="David" w:eastAsia="Calibri" w:hAnsi="David" w:hint="cs"/>
          <w:noProof w:val="0"/>
          <w:rtl/>
        </w:rPr>
        <w:t xml:space="preserve">ובעלה הם אלו שדואגים לכל צורכי הקטינות, </w:t>
      </w:r>
      <w:r w:rsidRPr="0078256A">
        <w:rPr>
          <w:rFonts w:ascii="David" w:eastAsia="Calibri" w:hAnsi="David"/>
          <w:noProof w:val="0"/>
          <w:rtl/>
        </w:rPr>
        <w:t>זאת ל</w:t>
      </w:r>
      <w:r w:rsidR="009A397A">
        <w:rPr>
          <w:rFonts w:ascii="David" w:eastAsia="Calibri" w:hAnsi="David" w:hint="cs"/>
          <w:noProof w:val="0"/>
          <w:rtl/>
        </w:rPr>
        <w:t xml:space="preserve">נוכח נטישתו של התובע </w:t>
      </w:r>
      <w:r w:rsidR="009A397A">
        <w:rPr>
          <w:rFonts w:ascii="David" w:eastAsia="Calibri" w:hAnsi="David"/>
          <w:noProof w:val="0"/>
          <w:rtl/>
        </w:rPr>
        <w:t>–</w:t>
      </w:r>
      <w:r w:rsidR="009A397A">
        <w:rPr>
          <w:rFonts w:ascii="David" w:eastAsia="Calibri" w:hAnsi="David" w:hint="cs"/>
          <w:noProof w:val="0"/>
          <w:rtl/>
        </w:rPr>
        <w:t xml:space="preserve"> </w:t>
      </w:r>
      <w:r w:rsidRPr="0078256A">
        <w:rPr>
          <w:rFonts w:ascii="David" w:eastAsia="Calibri" w:hAnsi="David"/>
          <w:noProof w:val="0"/>
          <w:rtl/>
        </w:rPr>
        <w:t>אביהן</w:t>
      </w:r>
      <w:r w:rsidR="009A397A">
        <w:rPr>
          <w:rFonts w:ascii="David" w:eastAsia="Calibri" w:hAnsi="David" w:hint="cs"/>
          <w:noProof w:val="0"/>
          <w:rtl/>
        </w:rPr>
        <w:t xml:space="preserve">.  </w:t>
      </w:r>
      <w:r w:rsidRPr="0078256A">
        <w:rPr>
          <w:rFonts w:ascii="David" w:eastAsia="Calibri" w:hAnsi="David"/>
          <w:noProof w:val="0"/>
          <w:rtl/>
        </w:rPr>
        <w:t>הקטינות נמצאות משך שנים בטיפולים רגשים</w:t>
      </w:r>
      <w:r w:rsidR="009A397A">
        <w:rPr>
          <w:rFonts w:ascii="David" w:eastAsia="Calibri" w:hAnsi="David" w:hint="cs"/>
          <w:noProof w:val="0"/>
          <w:rtl/>
        </w:rPr>
        <w:t xml:space="preserve"> ו</w:t>
      </w:r>
      <w:r w:rsidRPr="0078256A">
        <w:rPr>
          <w:rFonts w:ascii="David" w:eastAsia="Calibri" w:hAnsi="David"/>
          <w:noProof w:val="0"/>
          <w:rtl/>
        </w:rPr>
        <w:t>פסיכולוגים</w:t>
      </w:r>
      <w:r w:rsidR="009A397A">
        <w:rPr>
          <w:rFonts w:ascii="David" w:eastAsia="Calibri" w:hAnsi="David" w:hint="cs"/>
          <w:noProof w:val="0"/>
          <w:rtl/>
        </w:rPr>
        <w:t xml:space="preserve">, </w:t>
      </w:r>
      <w:r w:rsidRPr="0078256A">
        <w:rPr>
          <w:rFonts w:ascii="David" w:eastAsia="Calibri" w:hAnsi="David"/>
          <w:noProof w:val="0"/>
          <w:rtl/>
        </w:rPr>
        <w:t xml:space="preserve">זאת בשל התנהגות התובע כלפיהן. </w:t>
      </w:r>
      <w:r w:rsidR="009A397A">
        <w:rPr>
          <w:rFonts w:ascii="David" w:eastAsia="Calibri" w:hAnsi="David" w:hint="cs"/>
          <w:noProof w:val="0"/>
          <w:rtl/>
        </w:rPr>
        <w:t xml:space="preserve"> </w:t>
      </w:r>
      <w:r w:rsidRPr="0078256A">
        <w:rPr>
          <w:rFonts w:ascii="David" w:eastAsia="Calibri" w:hAnsi="David"/>
          <w:noProof w:val="0"/>
          <w:rtl/>
        </w:rPr>
        <w:t xml:space="preserve">הנתבעת היא זו </w:t>
      </w:r>
      <w:r w:rsidR="009A397A">
        <w:rPr>
          <w:rFonts w:ascii="David" w:eastAsia="Calibri" w:hAnsi="David" w:hint="cs"/>
          <w:noProof w:val="0"/>
          <w:rtl/>
        </w:rPr>
        <w:t xml:space="preserve">אשר מממנת באופן בלעדי את כלל הטיפולים, </w:t>
      </w:r>
      <w:r w:rsidRPr="0078256A">
        <w:rPr>
          <w:rFonts w:ascii="David" w:eastAsia="Calibri" w:hAnsi="David"/>
          <w:noProof w:val="0"/>
          <w:rtl/>
        </w:rPr>
        <w:t>במשך שני</w:t>
      </w:r>
      <w:r w:rsidR="009A397A">
        <w:rPr>
          <w:rFonts w:ascii="David" w:eastAsia="Calibri" w:hAnsi="David" w:hint="cs"/>
          <w:noProof w:val="0"/>
          <w:rtl/>
        </w:rPr>
        <w:t xml:space="preserve">ם. </w:t>
      </w:r>
      <w:r w:rsidRPr="0078256A">
        <w:rPr>
          <w:rFonts w:ascii="David" w:eastAsia="Calibri" w:hAnsi="David"/>
          <w:noProof w:val="0"/>
          <w:rtl/>
        </w:rPr>
        <w:t>התובע ידע כי הקטינות זקוקות לתמיכה רגשית ונפשית והתעלם מכך</w:t>
      </w:r>
      <w:r w:rsidR="009A397A">
        <w:rPr>
          <w:rFonts w:ascii="David" w:eastAsia="Calibri" w:hAnsi="David" w:hint="cs"/>
          <w:noProof w:val="0"/>
          <w:rtl/>
        </w:rPr>
        <w:t>.</w:t>
      </w:r>
    </w:p>
    <w:p w:rsidR="0078256A" w:rsidRPr="0078256A" w:rsidRDefault="0078256A" w:rsidP="0078256A">
      <w:pPr>
        <w:spacing w:before="240" w:after="240" w:line="360" w:lineRule="auto"/>
        <w:ind w:left="720"/>
        <w:contextualSpacing/>
        <w:jc w:val="both"/>
        <w:rPr>
          <w:rFonts w:ascii="David" w:eastAsia="Calibri" w:hAnsi="David"/>
          <w:noProof w:val="0"/>
        </w:rPr>
      </w:pPr>
    </w:p>
    <w:p w:rsidR="009A397A" w:rsidRDefault="009A397A" w:rsidP="009A397A">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 xml:space="preserve">מהלך השנים, </w:t>
      </w:r>
      <w:r w:rsidR="0078256A" w:rsidRPr="0078256A">
        <w:rPr>
          <w:rFonts w:ascii="David" w:eastAsia="Calibri" w:hAnsi="David"/>
          <w:noProof w:val="0"/>
          <w:rtl/>
        </w:rPr>
        <w:t>התובע סירב</w:t>
      </w:r>
      <w:r>
        <w:rPr>
          <w:rFonts w:ascii="David" w:eastAsia="Calibri" w:hAnsi="David" w:hint="cs"/>
          <w:noProof w:val="0"/>
          <w:rtl/>
        </w:rPr>
        <w:t xml:space="preserve"> </w:t>
      </w:r>
      <w:r w:rsidR="0078256A" w:rsidRPr="0078256A">
        <w:rPr>
          <w:rFonts w:ascii="David" w:eastAsia="Calibri" w:hAnsi="David"/>
          <w:noProof w:val="0"/>
          <w:rtl/>
        </w:rPr>
        <w:t xml:space="preserve"> להתחייב לזמני שהות עם הקטינות</w:t>
      </w:r>
      <w:r>
        <w:rPr>
          <w:rFonts w:ascii="David" w:eastAsia="Calibri" w:hAnsi="David" w:hint="cs"/>
          <w:noProof w:val="0"/>
          <w:rtl/>
        </w:rPr>
        <w:t xml:space="preserve">, והוא </w:t>
      </w:r>
      <w:r w:rsidR="0078256A" w:rsidRPr="0078256A">
        <w:rPr>
          <w:rFonts w:ascii="David" w:eastAsia="Calibri" w:hAnsi="David"/>
          <w:noProof w:val="0"/>
          <w:rtl/>
        </w:rPr>
        <w:t xml:space="preserve">ממשיך </w:t>
      </w:r>
      <w:r>
        <w:rPr>
          <w:rFonts w:ascii="David" w:eastAsia="Calibri" w:hAnsi="David" w:hint="cs"/>
          <w:noProof w:val="0"/>
          <w:rtl/>
        </w:rPr>
        <w:t xml:space="preserve">ומסרב </w:t>
      </w:r>
      <w:r w:rsidR="0078256A" w:rsidRPr="0078256A">
        <w:rPr>
          <w:rFonts w:ascii="David" w:eastAsia="Calibri" w:hAnsi="David"/>
          <w:noProof w:val="0"/>
          <w:rtl/>
        </w:rPr>
        <w:t xml:space="preserve">לעשות כן </w:t>
      </w:r>
      <w:r>
        <w:rPr>
          <w:rFonts w:ascii="David" w:eastAsia="Calibri" w:hAnsi="David" w:hint="cs"/>
          <w:noProof w:val="0"/>
          <w:rtl/>
        </w:rPr>
        <w:t xml:space="preserve">גם כיום.   </w:t>
      </w:r>
      <w:r w:rsidR="0078256A" w:rsidRPr="0078256A">
        <w:rPr>
          <w:rFonts w:ascii="David" w:eastAsia="Calibri" w:hAnsi="David"/>
          <w:noProof w:val="0"/>
          <w:rtl/>
        </w:rPr>
        <w:t>לאור העובדה שהנתבעת נישאה בשנית</w:t>
      </w:r>
      <w:r>
        <w:rPr>
          <w:rFonts w:ascii="David" w:eastAsia="Calibri" w:hAnsi="David" w:hint="cs"/>
          <w:noProof w:val="0"/>
          <w:rtl/>
        </w:rPr>
        <w:t xml:space="preserve">, </w:t>
      </w:r>
      <w:r w:rsidR="0078256A" w:rsidRPr="0078256A">
        <w:rPr>
          <w:rFonts w:ascii="David" w:eastAsia="Calibri" w:hAnsi="David"/>
          <w:noProof w:val="0"/>
          <w:rtl/>
        </w:rPr>
        <w:t xml:space="preserve"> ועתידה ללדת בימים הקרובים</w:t>
      </w:r>
      <w:r>
        <w:rPr>
          <w:rFonts w:ascii="David" w:eastAsia="Calibri" w:hAnsi="David" w:hint="cs"/>
          <w:noProof w:val="0"/>
          <w:rtl/>
        </w:rPr>
        <w:t>,</w:t>
      </w:r>
      <w:r w:rsidR="0078256A" w:rsidRPr="0078256A">
        <w:rPr>
          <w:rFonts w:ascii="David" w:eastAsia="Calibri" w:hAnsi="David"/>
          <w:noProof w:val="0"/>
          <w:rtl/>
        </w:rPr>
        <w:t xml:space="preserve"> הרי שבן זוגה הוא זה שמגדל עמה את הקטינות, </w:t>
      </w:r>
      <w:r>
        <w:rPr>
          <w:rFonts w:ascii="David" w:eastAsia="Calibri" w:hAnsi="David" w:hint="cs"/>
          <w:noProof w:val="0"/>
          <w:rtl/>
        </w:rPr>
        <w:t xml:space="preserve">שאף החלו </w:t>
      </w:r>
      <w:r w:rsidR="0078256A" w:rsidRPr="0078256A">
        <w:rPr>
          <w:rFonts w:ascii="David" w:eastAsia="Calibri" w:hAnsi="David"/>
          <w:noProof w:val="0"/>
          <w:rtl/>
        </w:rPr>
        <w:t>לקרוא לו אבא מיוזמתן</w:t>
      </w:r>
      <w:r>
        <w:rPr>
          <w:rFonts w:ascii="David" w:eastAsia="Calibri" w:hAnsi="David" w:hint="cs"/>
          <w:noProof w:val="0"/>
          <w:rtl/>
        </w:rPr>
        <w:t xml:space="preserve">, זאת למרות שהן יודעות </w:t>
      </w:r>
      <w:r w:rsidR="0078256A" w:rsidRPr="0078256A">
        <w:rPr>
          <w:rFonts w:ascii="David" w:eastAsia="Calibri" w:hAnsi="David"/>
          <w:noProof w:val="0"/>
          <w:rtl/>
        </w:rPr>
        <w:t xml:space="preserve">שהוא אינו אביהן. </w:t>
      </w:r>
      <w:r>
        <w:rPr>
          <w:rFonts w:ascii="David" w:eastAsia="Calibri" w:hAnsi="David" w:hint="cs"/>
          <w:noProof w:val="0"/>
          <w:rtl/>
        </w:rPr>
        <w:t xml:space="preserve"> </w:t>
      </w:r>
      <w:r w:rsidR="0078256A" w:rsidRPr="0078256A">
        <w:rPr>
          <w:rFonts w:ascii="David" w:eastAsia="Calibri" w:hAnsi="David"/>
          <w:noProof w:val="0"/>
          <w:rtl/>
        </w:rPr>
        <w:t>התובע אינו מ</w:t>
      </w:r>
      <w:r>
        <w:rPr>
          <w:rFonts w:ascii="David" w:eastAsia="Calibri" w:hAnsi="David" w:hint="cs"/>
          <w:noProof w:val="0"/>
          <w:rtl/>
        </w:rPr>
        <w:t xml:space="preserve">ודע לצורך של  </w:t>
      </w:r>
      <w:r w:rsidR="0078256A" w:rsidRPr="0078256A">
        <w:rPr>
          <w:rFonts w:ascii="David" w:eastAsia="Calibri" w:hAnsi="David"/>
          <w:noProof w:val="0"/>
          <w:rtl/>
        </w:rPr>
        <w:t>הקטינות להיות עמו בקשר יציב ורציף</w:t>
      </w:r>
      <w:r>
        <w:rPr>
          <w:rFonts w:ascii="David" w:eastAsia="Calibri" w:hAnsi="David" w:hint="cs"/>
          <w:noProof w:val="0"/>
          <w:rtl/>
        </w:rPr>
        <w:t xml:space="preserve">,  ואינו מבין את הנזק הנגרם להן עקב העדר </w:t>
      </w:r>
      <w:r w:rsidR="0078256A" w:rsidRPr="0078256A">
        <w:rPr>
          <w:rFonts w:ascii="David" w:eastAsia="Calibri" w:hAnsi="David"/>
          <w:noProof w:val="0"/>
          <w:rtl/>
        </w:rPr>
        <w:t>דמות אב</w:t>
      </w:r>
      <w:r>
        <w:rPr>
          <w:rFonts w:ascii="David" w:eastAsia="Calibri" w:hAnsi="David" w:hint="cs"/>
          <w:noProof w:val="0"/>
          <w:rtl/>
        </w:rPr>
        <w:t>.</w:t>
      </w:r>
    </w:p>
    <w:p w:rsidR="004A1CB2" w:rsidRDefault="004A1CB2" w:rsidP="004A1CB2">
      <w:pPr>
        <w:ind w:left="360"/>
        <w:rPr>
          <w:rFonts w:ascii="David" w:eastAsia="Calibri" w:hAnsi="David"/>
          <w:noProof w:val="0"/>
          <w:rtl/>
        </w:rPr>
      </w:pPr>
    </w:p>
    <w:p w:rsidR="004A1CB2" w:rsidRDefault="004A1CB2" w:rsidP="004A1CB2">
      <w:pPr>
        <w:rPr>
          <w:rFonts w:ascii="David" w:eastAsia="Calibri" w:hAnsi="David"/>
          <w:b/>
          <w:bCs/>
          <w:noProof w:val="0"/>
          <w:u w:val="single"/>
          <w:rtl/>
        </w:rPr>
      </w:pPr>
      <w:r w:rsidRPr="004A1CB2">
        <w:rPr>
          <w:rFonts w:ascii="David" w:eastAsia="Calibri" w:hAnsi="David" w:hint="cs"/>
          <w:b/>
          <w:bCs/>
          <w:noProof w:val="0"/>
          <w:u w:val="single"/>
          <w:rtl/>
        </w:rPr>
        <w:lastRenderedPageBreak/>
        <w:t>ראיות הצדדים:</w:t>
      </w:r>
    </w:p>
    <w:p w:rsidR="004A1CB2" w:rsidRPr="004A1CB2" w:rsidRDefault="004A1CB2" w:rsidP="004A1CB2">
      <w:pPr>
        <w:ind w:left="360"/>
        <w:rPr>
          <w:rFonts w:ascii="David" w:eastAsia="Calibri" w:hAnsi="David"/>
          <w:b/>
          <w:bCs/>
          <w:noProof w:val="0"/>
          <w:u w:val="single"/>
          <w:rtl/>
        </w:rPr>
      </w:pPr>
    </w:p>
    <w:p w:rsidR="004A1CB2" w:rsidRPr="004A1CB2" w:rsidRDefault="004A1CB2" w:rsidP="004A1CB2">
      <w:pPr>
        <w:ind w:left="360"/>
        <w:rPr>
          <w:rFonts w:ascii="David" w:eastAsia="Calibri" w:hAnsi="David"/>
          <w:noProof w:val="0"/>
          <w:rtl/>
        </w:rPr>
      </w:pPr>
    </w:p>
    <w:p w:rsidR="004A1CB2" w:rsidRPr="004A1CB2" w:rsidRDefault="004A1CB2" w:rsidP="0053499F">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ביום 28/2/23 נשמעו הוכחות הצדדים. מטעת התביעה, העיד התובע בעצמו, וכן אחותו הגב' ר</w:t>
      </w:r>
      <w:r w:rsidR="0053499F">
        <w:rPr>
          <w:rFonts w:ascii="David" w:eastAsia="Calibri" w:hAnsi="David" w:hint="cs"/>
          <w:noProof w:val="0"/>
          <w:rtl/>
        </w:rPr>
        <w:t>'</w:t>
      </w:r>
      <w:r>
        <w:rPr>
          <w:rFonts w:ascii="David" w:eastAsia="Calibri" w:hAnsi="David" w:hint="cs"/>
          <w:noProof w:val="0"/>
          <w:rtl/>
        </w:rPr>
        <w:t xml:space="preserve">, ומטעם ההגנה, העידה הנתבעת בעצמה. </w:t>
      </w:r>
      <w:r w:rsidRPr="004A1CB2">
        <w:rPr>
          <w:rFonts w:ascii="David" w:eastAsia="Calibri" w:hAnsi="David" w:hint="cs"/>
          <w:noProof w:val="0"/>
          <w:rtl/>
        </w:rPr>
        <w:t>סיכומי הצדדים נשמעו בע"פ, וכעת נדרשת הכרעה.</w:t>
      </w:r>
    </w:p>
    <w:p w:rsidR="006B48FE" w:rsidRPr="0053499F" w:rsidRDefault="006B48FE" w:rsidP="006B48FE">
      <w:pPr>
        <w:spacing w:before="240" w:after="240" w:line="360" w:lineRule="auto"/>
        <w:ind w:left="720"/>
        <w:contextualSpacing/>
        <w:jc w:val="both"/>
        <w:rPr>
          <w:rFonts w:ascii="David" w:eastAsia="Calibri" w:hAnsi="David"/>
          <w:noProof w:val="0"/>
          <w:rtl/>
        </w:rPr>
      </w:pPr>
    </w:p>
    <w:p w:rsidR="0078256A" w:rsidRDefault="0078256A" w:rsidP="0078256A">
      <w:pPr>
        <w:spacing w:before="240" w:after="240" w:line="360" w:lineRule="auto"/>
        <w:jc w:val="both"/>
        <w:rPr>
          <w:rFonts w:ascii="David" w:eastAsia="Calibri" w:hAnsi="David"/>
          <w:b/>
          <w:bCs/>
          <w:noProof w:val="0"/>
          <w:u w:val="single"/>
          <w:rtl/>
        </w:rPr>
      </w:pPr>
      <w:r w:rsidRPr="0078256A">
        <w:rPr>
          <w:rFonts w:ascii="David" w:eastAsia="Calibri" w:hAnsi="David"/>
          <w:b/>
          <w:bCs/>
          <w:noProof w:val="0"/>
          <w:u w:val="single"/>
          <w:rtl/>
        </w:rPr>
        <w:t>שינוי דמי מזונות – הכלל המשפטי:</w:t>
      </w:r>
    </w:p>
    <w:p w:rsidR="0078256A" w:rsidRPr="0078256A" w:rsidRDefault="0078256A" w:rsidP="0078256A">
      <w:pPr>
        <w:numPr>
          <w:ilvl w:val="0"/>
          <w:numId w:val="1"/>
        </w:numPr>
        <w:spacing w:before="240" w:after="240" w:line="360" w:lineRule="auto"/>
        <w:contextualSpacing/>
        <w:jc w:val="both"/>
        <w:rPr>
          <w:rFonts w:ascii="David" w:eastAsia="Calibri" w:hAnsi="David"/>
          <w:noProof w:val="0"/>
        </w:rPr>
      </w:pPr>
      <w:r w:rsidRPr="0078256A">
        <w:rPr>
          <w:rFonts w:ascii="David" w:eastAsia="Calibri" w:hAnsi="David"/>
          <w:noProof w:val="0"/>
          <w:rtl/>
        </w:rPr>
        <w:t xml:space="preserve">כידוע, פסק דין למזונות, אינו יוצר מחסום סופי מפני חידוש ההתדיינות, וניתן לחזור ולפנות לבית המשפט בקשה לנושא המזונות, בכפוף להוכחת התנאי כי חל </w:t>
      </w:r>
      <w:r w:rsidRPr="0078256A">
        <w:rPr>
          <w:rFonts w:ascii="David" w:eastAsia="Calibri" w:hAnsi="David"/>
          <w:b/>
          <w:bCs/>
          <w:noProof w:val="0"/>
          <w:rtl/>
        </w:rPr>
        <w:t>שינוי מהותי בנסיבות המצדיק</w:t>
      </w:r>
      <w:r w:rsidRPr="0078256A">
        <w:rPr>
          <w:rFonts w:ascii="David" w:eastAsia="Calibri" w:hAnsi="David"/>
          <w:noProof w:val="0"/>
          <w:rtl/>
        </w:rPr>
        <w:t xml:space="preserve"> את שינוי הקביעה המקורית.  את המושג </w:t>
      </w:r>
      <w:r w:rsidRPr="0078256A">
        <w:rPr>
          <w:rFonts w:ascii="David" w:eastAsia="Calibri" w:hAnsi="David"/>
          <w:b/>
          <w:bCs/>
          <w:noProof w:val="0"/>
          <w:rtl/>
        </w:rPr>
        <w:t>"שינוי נסיבות"</w:t>
      </w:r>
      <w:r w:rsidRPr="0078256A">
        <w:rPr>
          <w:rFonts w:ascii="David" w:eastAsia="Calibri" w:hAnsi="David"/>
          <w:noProof w:val="0"/>
          <w:rtl/>
        </w:rPr>
        <w:t xml:space="preserve"> בהקשר זה נהוג לפרש באופן דווקני, שאם לא כן עשוי להיות מופר האיזון בין המגמה להביא לסופיות הדיון לבין הצורך להתאים את גובה המזונות לצרכי חיים ולמצבי חיים משתנים בין של הצד הזכאי להן, ובין של הצד החייב בהם  [ראה: </w:t>
      </w:r>
      <w:hyperlink r:id="rId9" w:history="1">
        <w:r w:rsidRPr="0078256A">
          <w:rPr>
            <w:rFonts w:ascii="David" w:eastAsia="Calibri" w:hAnsi="David" w:hint="cs"/>
            <w:noProof w:val="0"/>
            <w:color w:val="0563C1"/>
            <w:u w:val="single"/>
            <w:rtl/>
          </w:rPr>
          <w:t>בע"מ 3148/07</w:t>
        </w:r>
      </w:hyperlink>
      <w:r w:rsidRPr="0078256A">
        <w:rPr>
          <w:rFonts w:ascii="David" w:eastAsia="Calibri" w:hAnsi="David"/>
          <w:noProof w:val="0"/>
          <w:rtl/>
        </w:rPr>
        <w:t xml:space="preserve"> </w:t>
      </w:r>
      <w:r w:rsidRPr="0078256A">
        <w:rPr>
          <w:rFonts w:ascii="David" w:eastAsia="Calibri" w:hAnsi="David" w:hint="cs"/>
          <w:b/>
          <w:bCs/>
          <w:noProof w:val="0"/>
          <w:rtl/>
        </w:rPr>
        <w:t>פלונית נ' פלוני</w:t>
      </w:r>
      <w:r w:rsidRPr="0078256A">
        <w:rPr>
          <w:rFonts w:ascii="David" w:eastAsia="Calibri" w:hAnsi="David" w:hint="cs"/>
          <w:noProof w:val="0"/>
          <w:rtl/>
        </w:rPr>
        <w:t xml:space="preserve"> (פורסם במאגרים המקוונים,13.6.2007)].</w:t>
      </w:r>
    </w:p>
    <w:p w:rsidR="0078256A" w:rsidRPr="0078256A" w:rsidRDefault="0078256A" w:rsidP="0078256A">
      <w:pPr>
        <w:spacing w:before="240" w:after="240" w:line="360" w:lineRule="auto"/>
        <w:ind w:left="1080"/>
        <w:contextualSpacing/>
        <w:jc w:val="both"/>
        <w:rPr>
          <w:rFonts w:ascii="David" w:eastAsia="Calibri" w:hAnsi="David"/>
          <w:noProof w:val="0"/>
        </w:rPr>
      </w:pPr>
    </w:p>
    <w:p w:rsidR="0078256A" w:rsidRPr="0078256A" w:rsidRDefault="0078256A" w:rsidP="0078256A">
      <w:pPr>
        <w:numPr>
          <w:ilvl w:val="0"/>
          <w:numId w:val="1"/>
        </w:numPr>
        <w:spacing w:before="240" w:after="240" w:line="360" w:lineRule="auto"/>
        <w:jc w:val="both"/>
        <w:rPr>
          <w:rFonts w:ascii="David" w:eastAsia="Calibri" w:hAnsi="David"/>
          <w:b/>
          <w:bCs/>
          <w:noProof w:val="0"/>
        </w:rPr>
      </w:pPr>
      <w:r w:rsidRPr="0078256A">
        <w:rPr>
          <w:rFonts w:ascii="David" w:eastAsia="Calibri" w:hAnsi="David"/>
          <w:noProof w:val="0"/>
          <w:rtl/>
        </w:rPr>
        <w:t xml:space="preserve">יש לבחון האם מאז מתן פסק הדין למזונות חל שינוי מהותי שמצדיק את שינוי פסק הדין [ראה: </w:t>
      </w:r>
      <w:hyperlink r:id="rId10" w:history="1">
        <w:r w:rsidRPr="0078256A">
          <w:rPr>
            <w:rFonts w:ascii="David" w:eastAsia="Calibri" w:hAnsi="David" w:hint="cs"/>
            <w:noProof w:val="0"/>
            <w:color w:val="0563C1"/>
            <w:u w:val="single"/>
            <w:rtl/>
          </w:rPr>
          <w:t xml:space="preserve">ע"א 315/78 </w:t>
        </w:r>
        <w:r w:rsidRPr="0078256A">
          <w:rPr>
            <w:rFonts w:ascii="David" w:eastAsia="Calibri" w:hAnsi="David" w:hint="cs"/>
            <w:b/>
            <w:bCs/>
            <w:noProof w:val="0"/>
            <w:color w:val="0563C1"/>
            <w:u w:val="single"/>
            <w:rtl/>
          </w:rPr>
          <w:t>לוי נ' לוי</w:t>
        </w:r>
        <w:r w:rsidRPr="0078256A">
          <w:rPr>
            <w:rFonts w:ascii="David" w:eastAsia="Calibri" w:hAnsi="David" w:hint="cs"/>
            <w:noProof w:val="0"/>
            <w:color w:val="0563C1"/>
            <w:u w:val="single"/>
            <w:rtl/>
          </w:rPr>
          <w:t xml:space="preserve"> פ"ד לג</w:t>
        </w:r>
      </w:hyperlink>
      <w:r w:rsidRPr="0078256A">
        <w:rPr>
          <w:rFonts w:ascii="David" w:eastAsia="Calibri" w:hAnsi="David" w:hint="cs"/>
          <w:noProof w:val="0"/>
          <w:rtl/>
        </w:rPr>
        <w:t xml:space="preserve">(1) 22]. על הנסיבות החדשות המצביעות על השינוי המהותי לרדת לשורשו של פסק הדין שניתן, כדי לאפשר את בחינת שיעור המזונות אשר נפסק [ראה: </w:t>
      </w:r>
      <w:hyperlink r:id="rId11" w:history="1">
        <w:r w:rsidRPr="0078256A">
          <w:rPr>
            <w:rFonts w:ascii="David" w:eastAsia="Calibri" w:hAnsi="David" w:hint="cs"/>
            <w:noProof w:val="0"/>
            <w:color w:val="0563C1"/>
            <w:u w:val="single"/>
            <w:rtl/>
          </w:rPr>
          <w:t xml:space="preserve">תמ"א 957/93 </w:t>
        </w:r>
        <w:r w:rsidRPr="0078256A">
          <w:rPr>
            <w:rFonts w:ascii="David" w:eastAsia="Calibri" w:hAnsi="David" w:hint="cs"/>
            <w:b/>
            <w:bCs/>
            <w:noProof w:val="0"/>
            <w:color w:val="0563C1"/>
            <w:u w:val="single"/>
            <w:rtl/>
          </w:rPr>
          <w:t>פלונית ואח' נ' אלמוני</w:t>
        </w:r>
        <w:r w:rsidRPr="0078256A">
          <w:rPr>
            <w:rFonts w:ascii="David" w:eastAsia="Calibri" w:hAnsi="David" w:hint="cs"/>
            <w:noProof w:val="0"/>
            <w:color w:val="0563C1"/>
            <w:u w:val="single"/>
            <w:rtl/>
          </w:rPr>
          <w:t>, פ"מ תשנ"ד</w:t>
        </w:r>
      </w:hyperlink>
      <w:r w:rsidRPr="0078256A">
        <w:rPr>
          <w:rFonts w:ascii="David" w:eastAsia="Calibri" w:hAnsi="David" w:hint="cs"/>
          <w:noProof w:val="0"/>
          <w:rtl/>
        </w:rPr>
        <w:t xml:space="preserve"> (3) 133, 137].  אין די להוכיח שינוי כשלעצמו, אלא יש צורך בהוכחת שינוי נסיבות מהותי שיצדיק התערבות במזונות שנקבעו ושינוי כזה ייעשה במקרים נדירים בלבד ובכפוף לשלושה תנאים מצטברים: הצדדים השאירו פתח במפורש או מכללא לשינוי נסיבות, כי מבקש השינוי פעל בתום לב וכי עקב השינוי המהותי בנסיבות לא היה זה צודק להשאיר את פסק הדין על כנו  [ראה: </w:t>
      </w:r>
      <w:hyperlink r:id="rId12" w:history="1">
        <w:r w:rsidRPr="0078256A">
          <w:rPr>
            <w:rFonts w:ascii="David" w:eastAsia="Calibri" w:hAnsi="David" w:hint="cs"/>
            <w:noProof w:val="0"/>
            <w:color w:val="0563C1"/>
            <w:u w:val="single"/>
            <w:rtl/>
          </w:rPr>
          <w:t>ע"א 442/83 קם נ' קם, פ"ד לח</w:t>
        </w:r>
      </w:hyperlink>
      <w:r w:rsidRPr="0078256A">
        <w:rPr>
          <w:rFonts w:ascii="David" w:eastAsia="Calibri" w:hAnsi="David" w:hint="cs"/>
          <w:noProof w:val="0"/>
          <w:rtl/>
        </w:rPr>
        <w:t xml:space="preserve">(1) 761]. </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78256A">
      <w:pPr>
        <w:numPr>
          <w:ilvl w:val="0"/>
          <w:numId w:val="1"/>
        </w:numPr>
        <w:spacing w:before="240" w:after="240" w:line="360" w:lineRule="auto"/>
        <w:jc w:val="both"/>
        <w:rPr>
          <w:rFonts w:ascii="David" w:eastAsia="Calibri" w:hAnsi="David"/>
          <w:noProof w:val="0"/>
        </w:rPr>
      </w:pPr>
      <w:r w:rsidRPr="0078256A">
        <w:rPr>
          <w:rFonts w:ascii="David" w:eastAsia="Calibri" w:hAnsi="David"/>
          <w:noProof w:val="0"/>
          <w:rtl/>
        </w:rPr>
        <w:t xml:space="preserve">בית המשפט אינו בודק מהו סכום המזונות שהיה פוסק היום, אילו הנתונים דנן הובאו בפניו במסגרת תביעת מזונות חדשה, אלא יש לבחון האומנם חל שינוי נסיבות מהותי  [ראה: </w:t>
      </w:r>
      <w:hyperlink r:id="rId13" w:history="1">
        <w:r w:rsidRPr="0078256A">
          <w:rPr>
            <w:rFonts w:ascii="David" w:eastAsia="Calibri" w:hAnsi="David" w:hint="cs"/>
            <w:noProof w:val="0"/>
            <w:color w:val="0563C1"/>
            <w:u w:val="single"/>
            <w:rtl/>
          </w:rPr>
          <w:t>ע"מ  1080/01</w:t>
        </w:r>
      </w:hyperlink>
      <w:r w:rsidRPr="0078256A">
        <w:rPr>
          <w:rFonts w:ascii="David" w:eastAsia="Calibri" w:hAnsi="David"/>
          <w:noProof w:val="0"/>
          <w:rtl/>
        </w:rPr>
        <w:t xml:space="preserve"> </w:t>
      </w:r>
      <w:r w:rsidRPr="0078256A">
        <w:rPr>
          <w:rFonts w:ascii="David" w:eastAsia="Calibri" w:hAnsi="David" w:hint="cs"/>
          <w:b/>
          <w:bCs/>
          <w:noProof w:val="0"/>
          <w:rtl/>
        </w:rPr>
        <w:t>י.ש נ' נ.ש</w:t>
      </w:r>
      <w:r w:rsidRPr="0078256A">
        <w:rPr>
          <w:rFonts w:ascii="David" w:eastAsia="Calibri" w:hAnsi="David" w:hint="cs"/>
          <w:noProof w:val="0"/>
          <w:rtl/>
        </w:rPr>
        <w:t xml:space="preserve"> ([פורסם במאגרים המקוונים,5.8.2003)].  נטל ההוכחה להוכיח את שינוי הנסיבות – חל על התובע, והמבחנים להוכחה הינם עובדתיים. על התובע להוכיח כי חל שינוי שלא ניתן היה לצפותו מראש  [ראה: </w:t>
      </w:r>
      <w:hyperlink r:id="rId14" w:history="1">
        <w:r w:rsidRPr="0078256A">
          <w:rPr>
            <w:rFonts w:ascii="David" w:eastAsia="Calibri" w:hAnsi="David" w:hint="cs"/>
            <w:noProof w:val="0"/>
            <w:color w:val="0563C1"/>
            <w:u w:val="single"/>
            <w:rtl/>
          </w:rPr>
          <w:t xml:space="preserve">ע"א 472/78 </w:t>
        </w:r>
        <w:r w:rsidRPr="0078256A">
          <w:rPr>
            <w:rFonts w:ascii="David" w:eastAsia="Calibri" w:hAnsi="David" w:hint="cs"/>
            <w:b/>
            <w:bCs/>
            <w:noProof w:val="0"/>
            <w:color w:val="0563C1"/>
            <w:u w:val="single"/>
            <w:rtl/>
          </w:rPr>
          <w:t>אשתר נ' אשתר</w:t>
        </w:r>
        <w:r w:rsidRPr="0078256A">
          <w:rPr>
            <w:rFonts w:ascii="David" w:eastAsia="Calibri" w:hAnsi="David" w:hint="cs"/>
            <w:noProof w:val="0"/>
            <w:color w:val="0563C1"/>
            <w:u w:val="single"/>
            <w:rtl/>
          </w:rPr>
          <w:t xml:space="preserve"> פ"ד לד</w:t>
        </w:r>
      </w:hyperlink>
      <w:r w:rsidRPr="0078256A">
        <w:rPr>
          <w:rFonts w:ascii="David" w:eastAsia="Calibri" w:hAnsi="David" w:hint="cs"/>
          <w:noProof w:val="0"/>
          <w:rtl/>
        </w:rPr>
        <w:t xml:space="preserve"> (1) 57, 60].  העיקרון הניצב מאחורי האפשרות לשינוי פסק דין למזונות הנו שכאשר מתקיים שינוי נסיבות מהותי, המשך קיומו של פסק הדין עלול להפוך לבלתי צודק.  המטרה הנה מניעת עיוות דין  [ראה ספרם של גריידי ושלם, מזונות ילדים, בעמ' 275].</w:t>
      </w:r>
    </w:p>
    <w:p w:rsidR="0078256A" w:rsidRPr="0078256A" w:rsidRDefault="0078256A" w:rsidP="0078256A">
      <w:pPr>
        <w:spacing w:before="240" w:after="240" w:line="360" w:lineRule="auto"/>
        <w:ind w:left="720"/>
        <w:contextualSpacing/>
        <w:jc w:val="both"/>
        <w:rPr>
          <w:rFonts w:ascii="David" w:eastAsia="Calibri" w:hAnsi="David"/>
          <w:noProof w:val="0"/>
          <w:rtl/>
        </w:rPr>
      </w:pPr>
    </w:p>
    <w:p w:rsidR="0078256A" w:rsidRPr="0078256A" w:rsidRDefault="0078256A" w:rsidP="0078256A">
      <w:pPr>
        <w:numPr>
          <w:ilvl w:val="0"/>
          <w:numId w:val="1"/>
        </w:numPr>
        <w:spacing w:before="240" w:after="240" w:line="360" w:lineRule="auto"/>
        <w:jc w:val="both"/>
        <w:rPr>
          <w:rFonts w:ascii="David" w:eastAsia="Calibri" w:hAnsi="David"/>
          <w:noProof w:val="0"/>
          <w:rtl/>
        </w:rPr>
      </w:pPr>
      <w:r w:rsidRPr="0078256A">
        <w:rPr>
          <w:rFonts w:ascii="David" w:eastAsia="Calibri" w:hAnsi="David"/>
          <w:noProof w:val="0"/>
          <w:rtl/>
        </w:rPr>
        <w:t xml:space="preserve">ביום 19.7.2017, ניתן פסק דינו של בית המשפט העליון בעניין </w:t>
      </w:r>
      <w:r w:rsidRPr="0078256A">
        <w:rPr>
          <w:rFonts w:ascii="David" w:eastAsia="Calibri" w:hAnsi="David"/>
          <w:b/>
          <w:bCs/>
          <w:noProof w:val="0"/>
          <w:rtl/>
        </w:rPr>
        <w:t>בע"מ 919/15 פלוני נ' פלונית</w:t>
      </w:r>
      <w:r w:rsidRPr="0078256A">
        <w:rPr>
          <w:rFonts w:ascii="David" w:eastAsia="Calibri" w:hAnsi="David"/>
          <w:noProof w:val="0"/>
          <w:rtl/>
        </w:rPr>
        <w:t xml:space="preserve"> [פורסם במאגרים המקוונים], שניתן בהרכב שופטים מורחב ודן בסוגיית חלוקת נטל דמי המזונות בין הורים לילדים </w:t>
      </w:r>
      <w:r w:rsidRPr="0078256A">
        <w:rPr>
          <w:rFonts w:ascii="David" w:eastAsia="Calibri" w:hAnsi="David"/>
          <w:b/>
          <w:bCs/>
          <w:noProof w:val="0"/>
          <w:rtl/>
        </w:rPr>
        <w:t>בגיל 6-15</w:t>
      </w:r>
      <w:r w:rsidRPr="0078256A">
        <w:rPr>
          <w:rFonts w:ascii="David" w:eastAsia="Calibri" w:hAnsi="David"/>
          <w:noProof w:val="0"/>
          <w:rtl/>
        </w:rPr>
        <w:t xml:space="preserve"> המצויים במשמורת משותפת.  פסק הדין שינה את ההלכה הנוהגת עד כה, ובו נקבעה הלכה חדשה לפיה: </w:t>
      </w:r>
      <w:r w:rsidRPr="0078256A">
        <w:rPr>
          <w:rFonts w:ascii="David" w:eastAsia="Calibri" w:hAnsi="David"/>
          <w:b/>
          <w:bCs/>
          <w:noProof w:val="0"/>
          <w:rtl/>
        </w:rPr>
        <w:t xml:space="preserve"> "בגילאי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 </w:t>
      </w:r>
      <w:r w:rsidRPr="0078256A">
        <w:rPr>
          <w:rFonts w:ascii="David" w:eastAsia="Calibri" w:hAnsi="David"/>
          <w:noProof w:val="0"/>
          <w:rtl/>
        </w:rPr>
        <w:t>[פסקה אחרונה לפסק הדין].</w:t>
      </w:r>
    </w:p>
    <w:p w:rsidR="0078256A" w:rsidRPr="0078256A" w:rsidRDefault="0078256A" w:rsidP="0078256A">
      <w:pPr>
        <w:spacing w:before="240" w:after="240" w:line="360" w:lineRule="auto"/>
        <w:jc w:val="both"/>
        <w:rPr>
          <w:rFonts w:ascii="David" w:eastAsia="Calibri" w:hAnsi="David"/>
          <w:noProof w:val="0"/>
          <w:rtl/>
        </w:rPr>
      </w:pPr>
    </w:p>
    <w:p w:rsidR="0078256A" w:rsidRPr="0078256A" w:rsidRDefault="0078256A" w:rsidP="0078256A">
      <w:pPr>
        <w:numPr>
          <w:ilvl w:val="0"/>
          <w:numId w:val="1"/>
        </w:numPr>
        <w:spacing w:before="240" w:after="240" w:line="360" w:lineRule="auto"/>
        <w:jc w:val="both"/>
        <w:rPr>
          <w:rFonts w:ascii="David" w:eastAsia="Calibri" w:hAnsi="David"/>
          <w:noProof w:val="0"/>
        </w:rPr>
      </w:pPr>
      <w:r w:rsidRPr="0078256A">
        <w:rPr>
          <w:rFonts w:ascii="David" w:eastAsia="Calibri" w:hAnsi="David"/>
          <w:noProof w:val="0"/>
          <w:rtl/>
        </w:rPr>
        <w:t xml:space="preserve">בעקבות פסק דינו של בית המשפט העליון, החלו בתי המשפט למשפחה, ובעקבותיהם בתי המשפט המחוזיים לדון בסוגיית מזונותיהם של ילדים, תוך יישום הכללים שנקבעו בהלכת בע"מ 919/15 על המקרה הקונקרטי הנדון בפניהם. כאשר המגמה הנראית הינה, כי ניתן ליישם את הכללים שהותוו על ידי בית המשפט העליון גם במקרים בהם אין מדובר במשמורת משותפת, וגם במקרים בהם אין מדובר בחלוקת זמן שווה (כבוד השופט שאול שוחט בעמ"ש 14612-10-16 (פורסם במאגרים המקוונים) (20.12.17), כבוד השופט ג'יוסי בעמ"ש (חי') 21269-05-17 [פורסם במאגרים המקוונים](כבוד השופט שרעבי ברמ"ש (חי') 41433-04-18 (פורסם במאגרים המקוונים)(30.5.18)). </w:t>
      </w:r>
    </w:p>
    <w:p w:rsidR="0078256A" w:rsidRPr="0078256A" w:rsidRDefault="0078256A" w:rsidP="0078256A">
      <w:pPr>
        <w:spacing w:before="240" w:after="240" w:line="360" w:lineRule="auto"/>
        <w:ind w:left="720"/>
        <w:contextualSpacing/>
        <w:jc w:val="both"/>
        <w:rPr>
          <w:rFonts w:ascii="David" w:eastAsia="Calibri" w:hAnsi="David"/>
          <w:noProof w:val="0"/>
          <w:rtl/>
        </w:rPr>
      </w:pPr>
    </w:p>
    <w:p w:rsidR="0078256A" w:rsidRPr="0078256A" w:rsidRDefault="0078256A" w:rsidP="0078256A">
      <w:pPr>
        <w:numPr>
          <w:ilvl w:val="0"/>
          <w:numId w:val="1"/>
        </w:numPr>
        <w:spacing w:before="240" w:after="240" w:line="360" w:lineRule="auto"/>
        <w:jc w:val="both"/>
        <w:rPr>
          <w:rFonts w:ascii="David" w:eastAsia="Calibri" w:hAnsi="David"/>
          <w:noProof w:val="0"/>
        </w:rPr>
      </w:pPr>
      <w:r w:rsidRPr="0078256A">
        <w:rPr>
          <w:rFonts w:ascii="David" w:eastAsia="Calibri" w:hAnsi="David"/>
          <w:noProof w:val="0"/>
          <w:rtl/>
        </w:rPr>
        <w:t>בעקבות שינוי ההלכה התעוררה הסוגיה האם הלכת בע"מ 919/15 מהווה</w:t>
      </w:r>
      <w:r w:rsidR="006B48FE">
        <w:rPr>
          <w:rFonts w:ascii="David" w:eastAsia="Calibri" w:hAnsi="David" w:hint="cs"/>
          <w:noProof w:val="0"/>
          <w:rtl/>
        </w:rPr>
        <w:t xml:space="preserve">, כשלעצמה, </w:t>
      </w:r>
      <w:r w:rsidRPr="0078256A">
        <w:rPr>
          <w:rFonts w:ascii="David" w:eastAsia="Calibri" w:hAnsi="David"/>
          <w:noProof w:val="0"/>
          <w:rtl/>
        </w:rPr>
        <w:t xml:space="preserve"> שינוי נסיבות מהותי המצדיק דיון מחדש בסוגיית המזונות (לעניין זה ראו: תמ"ש (פ"ת) 4542-03-16 א.נ' ב. (פורסם במאגרים המקוונים, 1.7.18), תלה"מ (קריות) 18283-10-17 פלוני נ' אלמונית (פורסם במאגרים המקוונים, 1.8.18), תלה"מ (נצ') 10726-05-18 א.ק. נ' ע.ק (פורסם במאגרים המקוונים, 6.9.18)) .  </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78256A">
      <w:pPr>
        <w:numPr>
          <w:ilvl w:val="0"/>
          <w:numId w:val="1"/>
        </w:numPr>
        <w:spacing w:before="240" w:after="240" w:line="360" w:lineRule="auto"/>
        <w:contextualSpacing/>
        <w:jc w:val="both"/>
        <w:rPr>
          <w:rFonts w:ascii="David" w:eastAsia="Calibri" w:hAnsi="David"/>
          <w:noProof w:val="0"/>
        </w:rPr>
      </w:pPr>
      <w:r w:rsidRPr="0078256A">
        <w:rPr>
          <w:rFonts w:ascii="David" w:eastAsia="Calibri" w:hAnsi="David"/>
          <w:noProof w:val="0"/>
          <w:rtl/>
        </w:rPr>
        <w:t>ביום 20/1/21 ניתן פסק דינו של בית המשפט העליון בעניין בע"מ 7670/18 במסגרתו נדונה בקשת רשות ערעור על פסק הדין שניתן על ידי בית משפט מחוזי מרכז [עמ"ש 62263-10-17 ועמ"ש 2314-11-17]. באותו עניין נאמרו על ידי כבוד השופט הנדל הדברים הבאים, אשר יפים ונכונים גם למקרה דנן:</w:t>
      </w:r>
    </w:p>
    <w:p w:rsidR="0078256A" w:rsidRPr="0078256A" w:rsidRDefault="0078256A" w:rsidP="0078256A">
      <w:pPr>
        <w:spacing w:before="240" w:after="240" w:line="360" w:lineRule="auto"/>
        <w:ind w:left="720"/>
        <w:contextualSpacing/>
        <w:jc w:val="both"/>
        <w:rPr>
          <w:rFonts w:ascii="David" w:eastAsia="Calibri" w:hAnsi="David"/>
          <w:noProof w:val="0"/>
        </w:rPr>
      </w:pPr>
    </w:p>
    <w:p w:rsidR="0078256A" w:rsidRPr="0078256A" w:rsidRDefault="0078256A" w:rsidP="0078256A">
      <w:pPr>
        <w:spacing w:before="240" w:after="240" w:line="360" w:lineRule="auto"/>
        <w:ind w:left="1701" w:right="1134"/>
        <w:jc w:val="both"/>
        <w:rPr>
          <w:rFonts w:ascii="David" w:hAnsi="David"/>
          <w:b/>
          <w:bCs/>
          <w:noProof w:val="0"/>
          <w:color w:val="000000"/>
          <w:spacing w:val="10"/>
        </w:rPr>
      </w:pPr>
      <w:r w:rsidRPr="0078256A">
        <w:rPr>
          <w:rFonts w:ascii="David" w:hAnsi="David"/>
          <w:b/>
          <w:bCs/>
          <w:noProof w:val="0"/>
          <w:color w:val="000000"/>
          <w:spacing w:val="10"/>
          <w:rtl/>
        </w:rPr>
        <w:t xml:space="preserve">".....פסק דין חלוט בענייני מזונות אינו יוצר מחסום החלטי בפני התדיינות חוזרת, וניתן לדון מחדש בכל עת בגובה מזונות שישולמו מעתה ואילך בהתקיים שינוי נסיבות מהותי </w:t>
      </w:r>
      <w:r w:rsidRPr="0078256A">
        <w:rPr>
          <w:rFonts w:ascii="David" w:hAnsi="David"/>
          <w:b/>
          <w:bCs/>
          <w:noProof w:val="0"/>
          <w:color w:val="000000"/>
          <w:spacing w:val="10"/>
          <w:rtl/>
        </w:rPr>
        <w:lastRenderedPageBreak/>
        <w:t>בהשוואה למצב בעבר (ראו: </w:t>
      </w:r>
      <w:hyperlink r:id="rId15" w:history="1">
        <w:r w:rsidRPr="0078256A">
          <w:rPr>
            <w:rFonts w:ascii="David" w:hAnsi="David" w:hint="cs"/>
            <w:b/>
            <w:bCs/>
            <w:noProof w:val="0"/>
            <w:color w:val="0563C1"/>
            <w:spacing w:val="10"/>
            <w:u w:val="single"/>
            <w:rtl/>
          </w:rPr>
          <w:t>ע"א 363/81 פייגה נ' פייגה פ"ד לו</w:t>
        </w:r>
      </w:hyperlink>
      <w:r w:rsidRPr="0078256A">
        <w:rPr>
          <w:rFonts w:ascii="David" w:hAnsi="David" w:hint="cs"/>
          <w:b/>
          <w:bCs/>
          <w:noProof w:val="0"/>
          <w:color w:val="000000"/>
          <w:spacing w:val="10"/>
          <w:rtl/>
        </w:rPr>
        <w:t>(3) 187 (1982) (להלן: </w:t>
      </w:r>
      <w:r w:rsidRPr="0078256A">
        <w:rPr>
          <w:rFonts w:ascii="David" w:hAnsi="David" w:hint="cs"/>
          <w:b/>
          <w:bCs/>
          <w:noProof w:val="0"/>
          <w:color w:val="000000"/>
          <w:rtl/>
        </w:rPr>
        <w:t>עניין פייגה</w:t>
      </w:r>
      <w:r w:rsidRPr="0078256A">
        <w:rPr>
          <w:rFonts w:ascii="David" w:hAnsi="David" w:hint="cs"/>
          <w:b/>
          <w:bCs/>
          <w:noProof w:val="0"/>
          <w:color w:val="000000"/>
          <w:spacing w:val="10"/>
          <w:rtl/>
        </w:rPr>
        <w:t>); </w:t>
      </w:r>
      <w:hyperlink r:id="rId16" w:history="1">
        <w:r w:rsidRPr="0078256A">
          <w:rPr>
            <w:rFonts w:ascii="David" w:hAnsi="David" w:hint="cs"/>
            <w:b/>
            <w:bCs/>
            <w:noProof w:val="0"/>
            <w:color w:val="0563C1"/>
            <w:spacing w:val="10"/>
            <w:u w:val="single"/>
            <w:rtl/>
          </w:rPr>
          <w:t>ע"א 442/83 קם נ' קם פ"ד לח</w:t>
        </w:r>
      </w:hyperlink>
      <w:r w:rsidRPr="0078256A">
        <w:rPr>
          <w:rFonts w:ascii="David" w:hAnsi="David" w:hint="cs"/>
          <w:b/>
          <w:bCs/>
          <w:noProof w:val="0"/>
          <w:color w:val="000000"/>
          <w:spacing w:val="10"/>
          <w:rtl/>
        </w:rPr>
        <w:t>(1) 767 (1984) (להלן: </w:t>
      </w:r>
      <w:r w:rsidRPr="0078256A">
        <w:rPr>
          <w:rFonts w:ascii="David" w:hAnsi="David" w:hint="cs"/>
          <w:b/>
          <w:bCs/>
          <w:noProof w:val="0"/>
          <w:color w:val="000000"/>
          <w:rtl/>
        </w:rPr>
        <w:t>עניין קם</w:t>
      </w:r>
      <w:r w:rsidRPr="0078256A">
        <w:rPr>
          <w:rFonts w:ascii="David" w:hAnsi="David" w:hint="cs"/>
          <w:b/>
          <w:bCs/>
          <w:noProof w:val="0"/>
          <w:color w:val="000000"/>
          <w:spacing w:val="10"/>
          <w:rtl/>
        </w:rPr>
        <w:t>)). הודגש, בהקשר זה, כי:</w:t>
      </w:r>
    </w:p>
    <w:p w:rsidR="0078256A" w:rsidRPr="0078256A" w:rsidRDefault="0078256A" w:rsidP="0078256A">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Pr>
      </w:pPr>
      <w:r w:rsidRPr="0078256A">
        <w:rPr>
          <w:rFonts w:ascii="David" w:hAnsi="David"/>
          <w:b/>
          <w:bCs/>
          <w:noProof w:val="0"/>
          <w:color w:val="000000"/>
          <w:spacing w:val="10"/>
          <w:rtl/>
        </w:rPr>
        <w:t>"פסק דין בענייני מזונות ילדים מעצם טבעו מטיל על ההורה חבויות לעתיד בתוך מערכת יחסים נמשכת העשויה להשתנות; מכאן נקבע, כי ניתן לפתוח את הנושא מקום שהשתנתה מהותית התשתית העובדתית עליה בוסס פסק הדין" (</w:t>
      </w:r>
      <w:hyperlink r:id="rId17" w:history="1">
        <w:r w:rsidRPr="0078256A">
          <w:rPr>
            <w:rFonts w:ascii="David" w:hAnsi="David" w:hint="cs"/>
            <w:b/>
            <w:bCs/>
            <w:noProof w:val="0"/>
            <w:color w:val="0563C1"/>
            <w:spacing w:val="10"/>
            <w:u w:val="single"/>
            <w:rtl/>
          </w:rPr>
          <w:t>בע"מ 3984/15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פלונית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(13.6.2016) </w:t>
      </w:r>
      <w:bookmarkStart w:id="0" w:name="Seif8"/>
      <w:r w:rsidRPr="0078256A">
        <w:rPr>
          <w:rFonts w:ascii="David" w:hAnsi="David" w:hint="cs"/>
          <w:b/>
          <w:bCs/>
          <w:noProof w:val="0"/>
          <w:color w:val="000000"/>
          <w:spacing w:val="10"/>
          <w:rtl/>
        </w:rPr>
        <w:t>פסקה </w:t>
      </w:r>
      <w:bookmarkEnd w:id="0"/>
      <w:r w:rsidRPr="0078256A">
        <w:rPr>
          <w:rFonts w:ascii="David" w:hAnsi="David" w:hint="cs"/>
          <w:b/>
          <w:bCs/>
          <w:noProof w:val="0"/>
          <w:color w:val="000000"/>
          <w:spacing w:val="10"/>
          <w:rtl/>
        </w:rPr>
        <w:t>כ"ה (להלן: </w:t>
      </w:r>
      <w:hyperlink r:id="rId18" w:history="1">
        <w:r w:rsidRPr="0078256A">
          <w:rPr>
            <w:rFonts w:ascii="David" w:hAnsi="David" w:hint="cs"/>
            <w:b/>
            <w:bCs/>
            <w:noProof w:val="0"/>
            <w:color w:val="0563C1"/>
            <w:u w:val="single"/>
            <w:rtl/>
          </w:rPr>
          <w:t>בע"מ 3984/15</w:t>
        </w:r>
      </w:hyperlink>
      <w:r w:rsidRPr="0078256A">
        <w:rPr>
          <w:rFonts w:ascii="David" w:hAnsi="David" w:hint="cs"/>
          <w:b/>
          <w:bCs/>
          <w:noProof w:val="0"/>
          <w:color w:val="000000"/>
          <w:spacing w:val="10"/>
          <w:rtl/>
        </w:rPr>
        <w:t>)).</w:t>
      </w:r>
    </w:p>
    <w:p w:rsidR="0078256A" w:rsidRPr="0078256A" w:rsidRDefault="0078256A" w:rsidP="006B48FE">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פסק דין בענייני מזונות ניתן לשינוי גם כשמדובר בפסק דין שנתן תוקף להסכם גירושין כולל בין הצדדים. במקרה זה יכול בית המשפט לקרוא אל תוך ההסכם תנאי מכללא על פיו ישתנה ההסכם במקרה בו יחול שינוי נסיבות מהותי, וזאת גם אם הצדדים לא בהכרח התכוונו לכך (עניין</w:t>
      </w:r>
      <w:r w:rsidRPr="0078256A">
        <w:rPr>
          <w:rFonts w:ascii="David" w:hAnsi="David"/>
          <w:b/>
          <w:bCs/>
          <w:noProof w:val="0"/>
          <w:color w:val="000000"/>
          <w:rtl/>
        </w:rPr>
        <w:t> פייגה</w:t>
      </w:r>
      <w:r w:rsidRPr="0078256A">
        <w:rPr>
          <w:rFonts w:ascii="David" w:hAnsi="David"/>
          <w:b/>
          <w:bCs/>
          <w:noProof w:val="0"/>
          <w:color w:val="000000"/>
          <w:spacing w:val="10"/>
          <w:rtl/>
        </w:rPr>
        <w:t>, </w:t>
      </w:r>
      <w:bookmarkStart w:id="1" w:name="Seif9"/>
      <w:r w:rsidRPr="0078256A">
        <w:rPr>
          <w:rFonts w:ascii="David" w:hAnsi="David"/>
          <w:b/>
          <w:bCs/>
          <w:noProof w:val="0"/>
          <w:color w:val="000000"/>
          <w:spacing w:val="10"/>
          <w:rtl/>
        </w:rPr>
        <w:t>פסקה </w:t>
      </w:r>
      <w:bookmarkEnd w:id="1"/>
      <w:r w:rsidRPr="0078256A">
        <w:rPr>
          <w:rFonts w:ascii="David" w:hAnsi="David"/>
          <w:b/>
          <w:bCs/>
          <w:noProof w:val="0"/>
          <w:color w:val="000000"/>
          <w:spacing w:val="10"/>
          <w:rtl/>
        </w:rPr>
        <w:t>2; עניין </w:t>
      </w:r>
      <w:r w:rsidRPr="0078256A">
        <w:rPr>
          <w:rFonts w:ascii="David" w:hAnsi="David"/>
          <w:b/>
          <w:bCs/>
          <w:noProof w:val="0"/>
          <w:color w:val="000000"/>
          <w:rtl/>
        </w:rPr>
        <w:t>קם</w:t>
      </w:r>
      <w:r w:rsidRPr="0078256A">
        <w:rPr>
          <w:rFonts w:ascii="David" w:hAnsi="David"/>
          <w:b/>
          <w:bCs/>
          <w:noProof w:val="0"/>
          <w:color w:val="000000"/>
          <w:spacing w:val="10"/>
          <w:rtl/>
        </w:rPr>
        <w:t>, </w:t>
      </w:r>
      <w:bookmarkStart w:id="2" w:name="Seif10"/>
      <w:r w:rsidRPr="0078256A">
        <w:rPr>
          <w:rFonts w:ascii="David" w:hAnsi="David"/>
          <w:b/>
          <w:bCs/>
          <w:noProof w:val="0"/>
          <w:color w:val="000000"/>
          <w:spacing w:val="10"/>
          <w:rtl/>
        </w:rPr>
        <w:t>פסקה </w:t>
      </w:r>
      <w:bookmarkEnd w:id="2"/>
      <w:r w:rsidRPr="0078256A">
        <w:rPr>
          <w:rFonts w:ascii="David" w:hAnsi="David"/>
          <w:b/>
          <w:bCs/>
          <w:noProof w:val="0"/>
          <w:color w:val="000000"/>
          <w:spacing w:val="10"/>
          <w:rtl/>
        </w:rPr>
        <w:t>5). על כן, במקרה שנערך הסכם גירושין, בו הוסדרו בהסכמה מכלול העניינים, וההסכם קיבל תוקף של פסק-דין – אין בכוחו למנוע מבית המשפט לבחון את שאלת המזונות מחדש, אם נתגבש שינוי מוחלט ומהותי של הנסיבות (עניין </w:t>
      </w:r>
      <w:r w:rsidRPr="0078256A">
        <w:rPr>
          <w:rFonts w:ascii="David" w:hAnsi="David"/>
          <w:b/>
          <w:bCs/>
          <w:noProof w:val="0"/>
          <w:color w:val="000000"/>
          <w:rtl/>
        </w:rPr>
        <w:t>קם</w:t>
      </w:r>
      <w:r w:rsidRPr="0078256A">
        <w:rPr>
          <w:rFonts w:ascii="David" w:hAnsi="David"/>
          <w:b/>
          <w:bCs/>
          <w:noProof w:val="0"/>
          <w:color w:val="000000"/>
          <w:spacing w:val="10"/>
          <w:rtl/>
        </w:rPr>
        <w:t>, </w:t>
      </w:r>
      <w:bookmarkStart w:id="3" w:name="Seif11"/>
      <w:r w:rsidRPr="0078256A">
        <w:rPr>
          <w:rFonts w:ascii="David" w:hAnsi="David"/>
          <w:b/>
          <w:bCs/>
          <w:noProof w:val="0"/>
          <w:color w:val="000000"/>
          <w:spacing w:val="10"/>
          <w:rtl/>
        </w:rPr>
        <w:t>פסקה </w:t>
      </w:r>
      <w:bookmarkEnd w:id="3"/>
      <w:r w:rsidRPr="0078256A">
        <w:rPr>
          <w:rFonts w:ascii="David" w:hAnsi="David"/>
          <w:b/>
          <w:bCs/>
          <w:noProof w:val="0"/>
          <w:color w:val="000000"/>
          <w:spacing w:val="10"/>
          <w:rtl/>
        </w:rPr>
        <w:t>6).</w:t>
      </w:r>
    </w:p>
    <w:p w:rsidR="0078256A" w:rsidRPr="0078256A" w:rsidRDefault="0078256A" w:rsidP="0078256A">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 xml:space="preserve">בבסיס הלכה זו עומד עיקרון הצדק. כאשר שינוי הנסיבות הופך את המשך אכיפת פסק הדין לבלתי צודקת, על בית המשפט להתערב. נכון להכיר, בהקשר זה, כי עסקינן אף בזכויות ילדים, ודרכו של עולם כי חיי המשפחה עשויים להשתנות. מן הצד האחר, אין לאפשר דיונים נוספים ללא בקרה בעניין שכבר הוכרע ונפסק. על מנת לאזן בין עיקרון הצדק ובין עיקרון סופיות הדיון, נקבע כי על שינוי הנסיבות </w:t>
      </w:r>
      <w:r w:rsidRPr="0078256A">
        <w:rPr>
          <w:rFonts w:ascii="David" w:hAnsi="David"/>
          <w:b/>
          <w:bCs/>
          <w:noProof w:val="0"/>
          <w:color w:val="000000"/>
          <w:spacing w:val="10"/>
          <w:rtl/>
        </w:rPr>
        <w:lastRenderedPageBreak/>
        <w:t>להיות מהותי, ובעת בחינת השינוי יש להשוות את המצב המקורי בעת מתן פסק הדין למצב הנוכחי, ולבחון האם השינוי יורד מהותית לשורש החיוב (</w:t>
      </w:r>
      <w:hyperlink r:id="rId19" w:history="1">
        <w:r w:rsidRPr="0078256A">
          <w:rPr>
            <w:rFonts w:ascii="David" w:hAnsi="David" w:hint="cs"/>
            <w:b/>
            <w:bCs/>
            <w:noProof w:val="0"/>
            <w:color w:val="0563C1"/>
            <w:u w:val="single"/>
            <w:rtl/>
          </w:rPr>
          <w:t>בע"מ 3984/15</w:t>
        </w:r>
      </w:hyperlink>
      <w:r w:rsidRPr="0078256A">
        <w:rPr>
          <w:rFonts w:ascii="David" w:hAnsi="David" w:hint="cs"/>
          <w:b/>
          <w:bCs/>
          <w:noProof w:val="0"/>
          <w:color w:val="000000"/>
          <w:spacing w:val="10"/>
          <w:rtl/>
        </w:rPr>
        <w:t>, </w:t>
      </w:r>
      <w:bookmarkStart w:id="4" w:name="Seif12"/>
      <w:r w:rsidRPr="0078256A">
        <w:rPr>
          <w:rFonts w:ascii="David" w:hAnsi="David" w:hint="cs"/>
          <w:b/>
          <w:bCs/>
          <w:noProof w:val="0"/>
          <w:color w:val="000000"/>
          <w:rtl/>
        </w:rPr>
        <w:t>[פורסם בנבו] </w:t>
      </w:r>
      <w:bookmarkEnd w:id="4"/>
      <w:r w:rsidRPr="0078256A">
        <w:rPr>
          <w:rFonts w:ascii="David" w:hAnsi="David" w:hint="cs"/>
          <w:b/>
          <w:bCs/>
          <w:noProof w:val="0"/>
          <w:color w:val="000000"/>
          <w:spacing w:val="10"/>
          <w:rtl/>
        </w:rPr>
        <w:t>פסקה כ"ה). לגבי השינוי המהותי הנדרש, כך נאמר ב</w:t>
      </w:r>
      <w:r w:rsidRPr="0078256A">
        <w:rPr>
          <w:rFonts w:ascii="David" w:hAnsi="David" w:hint="cs"/>
          <w:b/>
          <w:bCs/>
          <w:noProof w:val="0"/>
          <w:color w:val="000000"/>
          <w:rtl/>
        </w:rPr>
        <w:t>עניין פייגה</w:t>
      </w:r>
      <w:r w:rsidRPr="0078256A">
        <w:rPr>
          <w:rFonts w:ascii="David" w:hAnsi="David" w:hint="cs"/>
          <w:b/>
          <w:bCs/>
          <w:noProof w:val="0"/>
          <w:color w:val="000000"/>
          <w:spacing w:val="10"/>
          <w:rtl/>
        </w:rPr>
        <w:t>:</w:t>
      </w:r>
    </w:p>
    <w:p w:rsidR="0078256A" w:rsidRPr="0078256A" w:rsidRDefault="0078256A" w:rsidP="0078256A">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"אין המדובר בשינוי של מה בכך, ולכן אין ב</w:t>
      </w:r>
      <w:bookmarkStart w:id="5" w:name="Seif52"/>
      <w:r w:rsidRPr="0078256A">
        <w:rPr>
          <w:rFonts w:ascii="David" w:hAnsi="David"/>
          <w:b/>
          <w:bCs/>
          <w:noProof w:val="0"/>
          <w:color w:val="000000"/>
          <w:spacing w:val="10"/>
          <w:rtl/>
        </w:rPr>
        <w:t>כלל המשפטי</w:t>
      </w:r>
      <w:bookmarkEnd w:id="5"/>
      <w:r w:rsidRPr="0078256A">
        <w:rPr>
          <w:rFonts w:ascii="David" w:hAnsi="David"/>
          <w:b/>
          <w:bCs/>
          <w:noProof w:val="0"/>
          <w:color w:val="000000"/>
          <w:spacing w:val="10"/>
          <w:rtl/>
        </w:rPr>
        <w:t>,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w:t>
      </w:r>
      <w:bookmarkStart w:id="6" w:name="Seif13"/>
      <w:r w:rsidRPr="0078256A">
        <w:rPr>
          <w:rFonts w:ascii="David" w:hAnsi="David"/>
          <w:b/>
          <w:bCs/>
          <w:noProof w:val="0"/>
          <w:color w:val="000000"/>
          <w:spacing w:val="10"/>
          <w:rtl/>
        </w:rPr>
        <w:t>פסקה </w:t>
      </w:r>
      <w:bookmarkEnd w:id="6"/>
      <w:r w:rsidRPr="0078256A">
        <w:rPr>
          <w:rFonts w:ascii="David" w:hAnsi="David"/>
          <w:b/>
          <w:bCs/>
          <w:noProof w:val="0"/>
          <w:color w:val="000000"/>
          <w:spacing w:val="10"/>
          <w:rtl/>
        </w:rPr>
        <w:t>2).  </w:t>
      </w:r>
    </w:p>
    <w:p w:rsidR="0078256A" w:rsidRPr="0078256A" w:rsidRDefault="0078256A" w:rsidP="0078256A">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מאחר שלא ניתן להגדיר כללים ברורים לשינוי הנסיבות המצדיק דיון מחודש בתיק, נקבע, כי על בית המשפט להביט על התמונה בכללותה, ולבחון כל שינוי לגופו על-פי השכל הישר, נסיון החיים ופרטי המקרה (</w:t>
      </w:r>
      <w:hyperlink r:id="rId20" w:history="1">
        <w:r w:rsidRPr="0078256A">
          <w:rPr>
            <w:rFonts w:ascii="David" w:hAnsi="David" w:hint="cs"/>
            <w:b/>
            <w:bCs/>
            <w:noProof w:val="0"/>
            <w:color w:val="0563C1"/>
            <w:spacing w:val="10"/>
            <w:u w:val="single"/>
            <w:rtl/>
          </w:rPr>
          <w:t>בע"מ 3148/07</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(13.6.2007)).</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 </w:t>
      </w:r>
    </w:p>
    <w:p w:rsidR="0078256A" w:rsidRPr="0078256A" w:rsidRDefault="0078256A" w:rsidP="0078256A">
      <w:pPr>
        <w:spacing w:before="240" w:after="240" w:line="360" w:lineRule="auto"/>
        <w:ind w:left="1701" w:right="1134"/>
        <w:jc w:val="both"/>
        <w:rPr>
          <w:rFonts w:ascii="David" w:eastAsia="Calibri" w:hAnsi="David"/>
          <w:b/>
          <w:bCs/>
          <w:noProof w:val="0"/>
          <w:color w:val="000000"/>
          <w:rtl/>
        </w:rPr>
      </w:pPr>
      <w:r w:rsidRPr="0078256A">
        <w:rPr>
          <w:rFonts w:ascii="David" w:eastAsia="Calibri" w:hAnsi="David"/>
          <w:b/>
          <w:bCs/>
          <w:noProof w:val="0"/>
          <w:color w:val="000000"/>
          <w:rtl/>
        </w:rPr>
        <w:t>השפעת הלכת </w:t>
      </w:r>
      <w:hyperlink r:id="rId21" w:history="1">
        <w:r w:rsidRPr="0078256A">
          <w:rPr>
            <w:rFonts w:ascii="David" w:eastAsia="Calibri" w:hAnsi="David" w:hint="cs"/>
            <w:b/>
            <w:bCs/>
            <w:noProof w:val="0"/>
            <w:color w:val="0563C1"/>
            <w:u w:val="single"/>
            <w:rtl/>
          </w:rPr>
          <w:t>בע"מ 919/15</w:t>
        </w:r>
      </w:hyperlink>
      <w:r w:rsidRPr="0078256A">
        <w:rPr>
          <w:rFonts w:ascii="David" w:eastAsia="Calibri" w:hAnsi="David" w:hint="cs"/>
          <w:b/>
          <w:bCs/>
          <w:noProof w:val="0"/>
          <w:color w:val="000000"/>
          <w:rtl/>
        </w:rPr>
        <w:t> [פורסם בנבו] על מבחן שינוי הנסיבות – המצב כיום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11.       כאמור, בפסק הדין ב</w:t>
      </w:r>
      <w:hyperlink r:id="rId22"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לא הייתה התייחסות לתחולתה של ההלכה שנ</w:t>
      </w:r>
      <w:bookmarkStart w:id="7" w:name="Seif14"/>
      <w:r w:rsidRPr="0078256A">
        <w:rPr>
          <w:rFonts w:ascii="David" w:hAnsi="David" w:hint="cs"/>
          <w:b/>
          <w:bCs/>
          <w:noProof w:val="0"/>
          <w:color w:val="000000"/>
          <w:spacing w:val="10"/>
          <w:rtl/>
        </w:rPr>
        <w:t>פסקה </w:t>
      </w:r>
      <w:bookmarkEnd w:id="7"/>
      <w:r w:rsidRPr="0078256A">
        <w:rPr>
          <w:rFonts w:ascii="David" w:hAnsi="David" w:hint="cs"/>
          <w:b/>
          <w:bCs/>
          <w:noProof w:val="0"/>
          <w:color w:val="000000"/>
          <w:spacing w:val="10"/>
          <w:rtl/>
        </w:rPr>
        <w:t xml:space="preserve">בו על ציר הזמן. מאז, נדרשו בתי המשפט לענייני משפחה ובתי </w:t>
      </w:r>
      <w:r w:rsidRPr="0078256A">
        <w:rPr>
          <w:rFonts w:ascii="David" w:hAnsi="David" w:hint="cs"/>
          <w:b/>
          <w:bCs/>
          <w:noProof w:val="0"/>
          <w:color w:val="000000"/>
          <w:spacing w:val="10"/>
          <w:rtl/>
        </w:rPr>
        <w:lastRenderedPageBreak/>
        <w:t>המשפט המחוזיים לשאלת תחולתה של הלכת </w:t>
      </w:r>
      <w:hyperlink r:id="rId23"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על תביעות לשינוי שיעור מזונות, שנקבעו בפסק דין חלוט, טרם שנ</w:t>
      </w:r>
      <w:bookmarkStart w:id="8" w:name="Seif15"/>
      <w:r w:rsidRPr="0078256A">
        <w:rPr>
          <w:rFonts w:ascii="David" w:hAnsi="David" w:hint="cs"/>
          <w:b/>
          <w:bCs/>
          <w:noProof w:val="0"/>
          <w:color w:val="000000"/>
          <w:spacing w:val="10"/>
          <w:rtl/>
        </w:rPr>
        <w:t>פסקה </w:t>
      </w:r>
      <w:bookmarkEnd w:id="8"/>
      <w:r w:rsidRPr="0078256A">
        <w:rPr>
          <w:rFonts w:ascii="David" w:hAnsi="David" w:hint="cs"/>
          <w:b/>
          <w:bCs/>
          <w:noProof w:val="0"/>
          <w:color w:val="000000"/>
          <w:spacing w:val="10"/>
          <w:rtl/>
        </w:rPr>
        <w:t>ההלכה. מפסיקת בתי המשפט בערכאות הנמוכות, ניתן להתרשם כי אין תמימות דעים בסוגיה זו, ולמעשה, קיימות כיום גישות מגוונות באשר להשפעת הלכת </w:t>
      </w:r>
      <w:hyperlink r:id="rId24"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על דרישת השינוי המהותי בנסיבות, אשר תובאנה להלן בתמצית.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 </w:t>
      </w:r>
    </w:p>
    <w:p w:rsidR="0078256A" w:rsidRPr="0078256A" w:rsidRDefault="0078256A" w:rsidP="0078256A">
      <w:pPr>
        <w:spacing w:before="240" w:after="240" w:line="360" w:lineRule="auto"/>
        <w:ind w:left="1701" w:right="1134"/>
        <w:jc w:val="both"/>
        <w:rPr>
          <w:rFonts w:ascii="David" w:hAnsi="David"/>
          <w:b/>
          <w:bCs/>
          <w:noProof w:val="0"/>
          <w:color w:val="000000"/>
          <w:spacing w:val="10"/>
          <w:rtl/>
        </w:rPr>
      </w:pPr>
      <w:r w:rsidRPr="0078256A">
        <w:rPr>
          <w:rFonts w:ascii="David" w:hAnsi="David"/>
          <w:b/>
          <w:bCs/>
          <w:noProof w:val="0"/>
          <w:color w:val="000000"/>
          <w:spacing w:val="10"/>
          <w:rtl/>
        </w:rPr>
        <w:t>גישה אחת גורסת כי הלכת </w:t>
      </w:r>
      <w:hyperlink r:id="rId25"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אינה חלה באופן רטרואקטיבי על דמי מזונות שנקבעו, זה מכבר, בפסק דין חלוט. וזאת, בין אם מדובר בפסק דין שנתן תוקף להסכמות הצדדים, ובין בפסק דין שניתן לאחר הליך משפטי (ראו למשל: </w:t>
      </w:r>
      <w:hyperlink r:id="rId26" w:history="1">
        <w:r w:rsidRPr="0078256A">
          <w:rPr>
            <w:rFonts w:ascii="David" w:hAnsi="David"/>
            <w:b/>
            <w:bCs/>
            <w:noProof w:val="0"/>
            <w:color w:val="0563C1"/>
            <w:spacing w:val="10"/>
            <w:u w:val="single"/>
            <w:rtl/>
          </w:rPr>
          <w:t>תמ"ש (ת"א) 29329-07-16</w:t>
        </w:r>
      </w:hyperlink>
      <w:r w:rsidRPr="0078256A">
        <w:rPr>
          <w:rFonts w:ascii="David" w:hAnsi="David" w:hint="cs"/>
          <w:b/>
          <w:bCs/>
          <w:noProof w:val="0"/>
          <w:color w:val="000000"/>
          <w:spacing w:val="10"/>
          <w:rtl/>
        </w:rPr>
        <w:t> </w:t>
      </w:r>
      <w:r w:rsidRPr="0078256A">
        <w:rPr>
          <w:rFonts w:ascii="David" w:hAnsi="David" w:hint="cs"/>
          <w:b/>
          <w:bCs/>
          <w:noProof w:val="0"/>
          <w:color w:val="000000"/>
          <w:rtl/>
        </w:rPr>
        <w:t>מ. ג' נ' א. ג'</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(9.11.2017); תלה"</w:t>
      </w:r>
      <w:hyperlink r:id="rId27" w:history="1">
        <w:r w:rsidRPr="0078256A">
          <w:rPr>
            <w:rFonts w:ascii="David" w:hAnsi="David" w:hint="cs"/>
            <w:b/>
            <w:bCs/>
            <w:noProof w:val="0"/>
            <w:color w:val="0563C1"/>
            <w:spacing w:val="10"/>
            <w:u w:val="single"/>
            <w:rtl/>
          </w:rPr>
          <w:t>מ (ת"א) 38034-09-17</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(11.3.2018); תלה"</w:t>
      </w:r>
      <w:hyperlink r:id="rId28" w:history="1">
        <w:r w:rsidRPr="0078256A">
          <w:rPr>
            <w:rFonts w:ascii="David" w:hAnsi="David" w:hint="cs"/>
            <w:b/>
            <w:bCs/>
            <w:noProof w:val="0"/>
            <w:color w:val="0563C1"/>
            <w:spacing w:val="10"/>
            <w:u w:val="single"/>
            <w:rtl/>
          </w:rPr>
          <w:t>מ 45925-04-17</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26.8.2018)). על-פי הגישה השנייה, הלכת </w:t>
      </w:r>
      <w:hyperlink r:id="rId29"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מהווה כשלעצמה שינוי נסיבות מהותי המצדיק דיון מחודש בחיוב מזונות שמקורו בפסק דין שאישר הסכמות או שניתן לאחר הליך משפטי (ראו למשל: </w:t>
      </w:r>
      <w:hyperlink r:id="rId30" w:history="1">
        <w:r w:rsidRPr="0078256A">
          <w:rPr>
            <w:rFonts w:ascii="David" w:hAnsi="David"/>
            <w:b/>
            <w:bCs/>
            <w:noProof w:val="0"/>
            <w:color w:val="0563C1"/>
            <w:spacing w:val="10"/>
            <w:u w:val="single"/>
            <w:rtl/>
          </w:rPr>
          <w:t>תמ"ש (פ"ת) 4542-03-16</w:t>
        </w:r>
      </w:hyperlink>
      <w:r w:rsidRPr="0078256A">
        <w:rPr>
          <w:rFonts w:ascii="David" w:hAnsi="David" w:hint="cs"/>
          <w:b/>
          <w:bCs/>
          <w:noProof w:val="0"/>
          <w:color w:val="000000"/>
          <w:spacing w:val="10"/>
          <w:rtl/>
        </w:rPr>
        <w:t> </w:t>
      </w:r>
      <w:r w:rsidRPr="0078256A">
        <w:rPr>
          <w:rFonts w:ascii="David" w:hAnsi="David" w:hint="cs"/>
          <w:b/>
          <w:bCs/>
          <w:noProof w:val="0"/>
          <w:color w:val="000000"/>
          <w:rtl/>
        </w:rPr>
        <w:t>א' נ' ב'</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(1.7.2018)). גישה אחרת מבחינה בין חיוב פסוק במזונות שנקבעו בפסק דין שניתן לאחר הליך משפטי, שאז הלכת </w:t>
      </w:r>
      <w:hyperlink r:id="rId31"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מהווה עילה בלעדית לבחינת דמי מזונות שנפסקו; ובין מזונות שמקורם בהסכם גירושין, שאז ההלכה תחול ככל שהמבקש יוכיח שינוי נסיבות עובדתי ברף הנמוך מהנדרש, וקיומו של תום לב בהגשת התביעה (ראו למשל: תלה"</w:t>
      </w:r>
      <w:hyperlink r:id="rId32" w:history="1">
        <w:r w:rsidRPr="0078256A">
          <w:rPr>
            <w:rFonts w:ascii="David" w:hAnsi="David" w:hint="cs"/>
            <w:b/>
            <w:bCs/>
            <w:noProof w:val="0"/>
            <w:color w:val="0563C1"/>
            <w:spacing w:val="10"/>
            <w:u w:val="single"/>
            <w:rtl/>
          </w:rPr>
          <w:t>מ (נצרת) 10726-05-18</w:t>
        </w:r>
      </w:hyperlink>
      <w:r w:rsidRPr="0078256A">
        <w:rPr>
          <w:rFonts w:ascii="David" w:hAnsi="David" w:hint="cs"/>
          <w:b/>
          <w:bCs/>
          <w:noProof w:val="0"/>
          <w:color w:val="000000"/>
          <w:spacing w:val="10"/>
          <w:rtl/>
        </w:rPr>
        <w:t> </w:t>
      </w:r>
      <w:r w:rsidRPr="0078256A">
        <w:rPr>
          <w:rFonts w:ascii="David" w:hAnsi="David" w:hint="cs"/>
          <w:b/>
          <w:bCs/>
          <w:noProof w:val="0"/>
          <w:color w:val="000000"/>
          <w:rtl/>
        </w:rPr>
        <w:t>א.ק</w:t>
      </w:r>
      <w:r w:rsidRPr="0078256A">
        <w:rPr>
          <w:rFonts w:ascii="David" w:hAnsi="David" w:hint="cs"/>
          <w:b/>
          <w:bCs/>
          <w:noProof w:val="0"/>
          <w:color w:val="000000"/>
          <w:spacing w:val="10"/>
          <w:rtl/>
        </w:rPr>
        <w:t> </w:t>
      </w:r>
      <w:r w:rsidRPr="0078256A">
        <w:rPr>
          <w:rFonts w:ascii="David" w:hAnsi="David" w:hint="cs"/>
          <w:b/>
          <w:bCs/>
          <w:noProof w:val="0"/>
          <w:color w:val="000000"/>
          <w:rtl/>
        </w:rPr>
        <w:t>נ' ע. ק</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(6.9.2018)). גישה נוספת הציעה דרך ביניים, לפיה, הלכת </w:t>
      </w:r>
      <w:hyperlink r:id="rId33" w:history="1">
        <w:r w:rsidRPr="0078256A">
          <w:rPr>
            <w:rFonts w:ascii="David" w:hAnsi="David" w:hint="cs"/>
            <w:b/>
            <w:bCs/>
            <w:noProof w:val="0"/>
            <w:color w:val="0563C1"/>
            <w:spacing w:val="10"/>
            <w:u w:val="single"/>
            <w:rtl/>
          </w:rPr>
          <w:t>בע"מ 919/15</w:t>
        </w:r>
      </w:hyperlink>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 xml:space="preserve">אינה מהווה כשלעצמה שינוי נסיבות המצדיק התערבות בפסיקת מזונות, ועל המבקש להוכיח שינוי נסיבות עובדתי באופן פחות קפדני, תוך עמידה בדרישת תום הלב. גישה זו הובאה </w:t>
      </w:r>
      <w:r w:rsidRPr="0078256A">
        <w:rPr>
          <w:rFonts w:ascii="David" w:hAnsi="David" w:hint="cs"/>
          <w:b/>
          <w:bCs/>
          <w:noProof w:val="0"/>
          <w:color w:val="000000"/>
          <w:spacing w:val="10"/>
          <w:rtl/>
        </w:rPr>
        <w:lastRenderedPageBreak/>
        <w:t>בפסק דינו של בית המשפט המחוזי מושא הבקשה שלפנינו, אולם בית המשפט התמקד בשינוי שיעור מזונות שהוסכם בהסכם גירושין כולל, ולא הביע עמדה באשר למצב בו המזונות נקבעו בפסק דין לאחר הליך שיפוטי. יצוין כי גישה זו התקבלה ויושמה על-ידי </w:t>
      </w:r>
      <w:bookmarkStart w:id="9" w:name="Seif29"/>
      <w:r w:rsidRPr="0078256A">
        <w:rPr>
          <w:rFonts w:ascii="David" w:hAnsi="David" w:hint="cs"/>
          <w:b/>
          <w:bCs/>
          <w:noProof w:val="0"/>
          <w:color w:val="000000"/>
          <w:spacing w:val="10"/>
          <w:rtl/>
        </w:rPr>
        <w:t>חלק מבתי </w:t>
      </w:r>
      <w:bookmarkEnd w:id="9"/>
      <w:r w:rsidRPr="0078256A">
        <w:rPr>
          <w:rFonts w:ascii="David" w:hAnsi="David" w:hint="cs"/>
          <w:b/>
          <w:bCs/>
          <w:noProof w:val="0"/>
          <w:color w:val="000000"/>
          <w:spacing w:val="10"/>
          <w:rtl/>
        </w:rPr>
        <w:t>המשפט (ראו למשל: תלה"</w:t>
      </w:r>
      <w:hyperlink r:id="rId34" w:history="1">
        <w:r w:rsidRPr="0078256A">
          <w:rPr>
            <w:rFonts w:ascii="David" w:hAnsi="David" w:hint="cs"/>
            <w:b/>
            <w:bCs/>
            <w:noProof w:val="0"/>
            <w:color w:val="0563C1"/>
            <w:spacing w:val="10"/>
            <w:u w:val="single"/>
            <w:rtl/>
          </w:rPr>
          <w:t>מ (ת"א) 9494-10-17</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(14.10.2018); תלה"</w:t>
      </w:r>
      <w:hyperlink r:id="rId35" w:history="1">
        <w:r w:rsidRPr="0078256A">
          <w:rPr>
            <w:rFonts w:ascii="David" w:hAnsi="David" w:hint="cs"/>
            <w:b/>
            <w:bCs/>
            <w:noProof w:val="0"/>
            <w:color w:val="0563C1"/>
            <w:spacing w:val="10"/>
            <w:u w:val="single"/>
            <w:rtl/>
          </w:rPr>
          <w:t>מ (ראשל"צ) 8671-10-17</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(31.1.2019); תלה"</w:t>
      </w:r>
      <w:hyperlink r:id="rId36" w:history="1">
        <w:r w:rsidRPr="0078256A">
          <w:rPr>
            <w:rFonts w:ascii="David" w:hAnsi="David" w:hint="cs"/>
            <w:b/>
            <w:bCs/>
            <w:noProof w:val="0"/>
            <w:color w:val="0563C1"/>
            <w:spacing w:val="10"/>
            <w:u w:val="single"/>
            <w:rtl/>
          </w:rPr>
          <w:t>מ (חדרה) 42487-03-18</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אלמונית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(17.3.2018); </w:t>
      </w:r>
      <w:hyperlink r:id="rId37" w:history="1">
        <w:r w:rsidRPr="0078256A">
          <w:rPr>
            <w:rFonts w:ascii="David" w:hAnsi="David"/>
            <w:b/>
            <w:bCs/>
            <w:noProof w:val="0"/>
            <w:color w:val="0563C1"/>
            <w:spacing w:val="10"/>
            <w:u w:val="single"/>
            <w:rtl/>
          </w:rPr>
          <w:t>עמ"ש 14599-05-18</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(28.11.2018); </w:t>
      </w:r>
      <w:hyperlink r:id="rId38" w:history="1">
        <w:r w:rsidRPr="0078256A">
          <w:rPr>
            <w:rFonts w:ascii="David" w:hAnsi="David"/>
            <w:b/>
            <w:bCs/>
            <w:noProof w:val="0"/>
            <w:color w:val="0563C1"/>
            <w:spacing w:val="10"/>
            <w:u w:val="single"/>
            <w:rtl/>
          </w:rPr>
          <w:t>עמ"ש 40627-10-16</w:t>
        </w:r>
      </w:hyperlink>
      <w:r w:rsidRPr="0078256A">
        <w:rPr>
          <w:rFonts w:ascii="David" w:hAnsi="David" w:hint="cs"/>
          <w:b/>
          <w:bCs/>
          <w:noProof w:val="0"/>
          <w:color w:val="000000"/>
          <w:spacing w:val="10"/>
          <w:rtl/>
        </w:rPr>
        <w:t> </w:t>
      </w:r>
      <w:r w:rsidRPr="0078256A">
        <w:rPr>
          <w:rFonts w:ascii="David" w:hAnsi="David" w:hint="cs"/>
          <w:b/>
          <w:bCs/>
          <w:noProof w:val="0"/>
          <w:color w:val="000000"/>
          <w:rtl/>
        </w:rPr>
        <w:t>פלוני נ' פלונית</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(3.3.2019)). לא זו אף זו, באחד מן המקרים נקבע כי שינוי מזונות שנקבעו בהסכם גירושין הוא סוגיה חוזית, ומשכך יש לבחון את שינוי הנסיבות בצורה מקלה במסגרת העילות החוזיות המוכרות בדין, קרי: טעות, הטעייה, תום לב וכיו"</w:t>
      </w:r>
      <w:hyperlink r:id="rId39" w:history="1">
        <w:r w:rsidRPr="0078256A">
          <w:rPr>
            <w:rFonts w:ascii="David" w:hAnsi="David" w:hint="cs"/>
            <w:b/>
            <w:bCs/>
            <w:noProof w:val="0"/>
            <w:color w:val="0563C1"/>
            <w:spacing w:val="10"/>
            <w:u w:val="single"/>
            <w:rtl/>
          </w:rPr>
          <w:t>ב (תלה"מ (ת"א) 54788-02-18</w:t>
        </w:r>
      </w:hyperlink>
      <w:r w:rsidRPr="0078256A">
        <w:rPr>
          <w:rFonts w:ascii="David" w:hAnsi="David" w:hint="cs"/>
          <w:b/>
          <w:bCs/>
          <w:noProof w:val="0"/>
          <w:color w:val="000000"/>
          <w:spacing w:val="10"/>
          <w:rtl/>
        </w:rPr>
        <w:t> </w:t>
      </w:r>
      <w:r w:rsidRPr="0078256A">
        <w:rPr>
          <w:rFonts w:ascii="David" w:hAnsi="David" w:hint="cs"/>
          <w:b/>
          <w:bCs/>
          <w:noProof w:val="0"/>
          <w:color w:val="000000"/>
          <w:rtl/>
        </w:rPr>
        <w:t>א.ע נ' נ.ע</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(16.11.2018)). לעומת זאת, במקרה אחר, בו מקורו של החיוב היה בפסק דין שניתן לאחר הליך משפטי, נקבע, כי על המבקש להציג ראשית ראיה על מנת להוכיח שינוי נסיבות (תלה"</w:t>
      </w:r>
      <w:hyperlink r:id="rId40" w:history="1">
        <w:r w:rsidRPr="0078256A">
          <w:rPr>
            <w:rFonts w:ascii="David" w:hAnsi="David" w:hint="cs"/>
            <w:b/>
            <w:bCs/>
            <w:noProof w:val="0"/>
            <w:color w:val="0563C1"/>
            <w:spacing w:val="10"/>
            <w:u w:val="single"/>
            <w:rtl/>
          </w:rPr>
          <w:t>מ (ירושלים) 27735-06-17</w:t>
        </w:r>
      </w:hyperlink>
      <w:r w:rsidRPr="0078256A">
        <w:rPr>
          <w:rFonts w:ascii="David" w:hAnsi="David" w:hint="cs"/>
          <w:b/>
          <w:bCs/>
          <w:noProof w:val="0"/>
          <w:color w:val="000000"/>
          <w:spacing w:val="10"/>
          <w:rtl/>
        </w:rPr>
        <w:t> </w:t>
      </w:r>
      <w:r w:rsidRPr="0078256A">
        <w:rPr>
          <w:rFonts w:ascii="David" w:hAnsi="David" w:hint="cs"/>
          <w:b/>
          <w:bCs/>
          <w:noProof w:val="0"/>
          <w:color w:val="000000"/>
          <w:rtl/>
        </w:rPr>
        <w:t>ע.ע נ' ש.ז</w:t>
      </w:r>
      <w:r w:rsidRPr="0078256A">
        <w:rPr>
          <w:rFonts w:ascii="David" w:hAnsi="David" w:hint="cs"/>
          <w:b/>
          <w:bCs/>
          <w:noProof w:val="0"/>
          <w:color w:val="000000"/>
          <w:spacing w:val="10"/>
          <w:rtl/>
        </w:rPr>
        <w:t> </w:t>
      </w:r>
      <w:r w:rsidRPr="0078256A">
        <w:rPr>
          <w:rFonts w:ascii="David" w:hAnsi="David" w:hint="cs"/>
          <w:b/>
          <w:bCs/>
          <w:noProof w:val="0"/>
          <w:color w:val="000000"/>
          <w:rtl/>
        </w:rPr>
        <w:t>[פורסם בנבו] </w:t>
      </w:r>
      <w:r w:rsidRPr="0078256A">
        <w:rPr>
          <w:rFonts w:ascii="David" w:hAnsi="David" w:hint="cs"/>
          <w:b/>
          <w:bCs/>
          <w:noProof w:val="0"/>
          <w:color w:val="000000"/>
          <w:spacing w:val="10"/>
          <w:rtl/>
        </w:rPr>
        <w:t>(20.5.2019)). </w:t>
      </w:r>
    </w:p>
    <w:p w:rsidR="006B48FE" w:rsidRDefault="006B48FE" w:rsidP="0078256A">
      <w:pPr>
        <w:spacing w:before="240" w:after="240" w:line="360" w:lineRule="auto"/>
        <w:ind w:right="1134"/>
        <w:jc w:val="both"/>
        <w:rPr>
          <w:rFonts w:ascii="David" w:hAnsi="David"/>
          <w:b/>
          <w:bCs/>
          <w:noProof w:val="0"/>
          <w:color w:val="000000"/>
          <w:spacing w:val="10"/>
          <w:u w:val="single"/>
          <w:rtl/>
        </w:rPr>
      </w:pPr>
    </w:p>
    <w:p w:rsidR="0078256A" w:rsidRPr="0078256A" w:rsidRDefault="0078256A" w:rsidP="0078256A">
      <w:pPr>
        <w:spacing w:before="240" w:after="240" w:line="360" w:lineRule="auto"/>
        <w:ind w:right="1134"/>
        <w:jc w:val="both"/>
        <w:rPr>
          <w:rFonts w:ascii="David" w:hAnsi="David"/>
          <w:b/>
          <w:bCs/>
          <w:noProof w:val="0"/>
          <w:color w:val="000000"/>
          <w:spacing w:val="10"/>
          <w:rtl/>
        </w:rPr>
      </w:pPr>
      <w:r w:rsidRPr="0078256A">
        <w:rPr>
          <w:rFonts w:ascii="David" w:hAnsi="David"/>
          <w:b/>
          <w:bCs/>
          <w:noProof w:val="0"/>
          <w:color w:val="000000"/>
          <w:spacing w:val="10"/>
          <w:u w:val="single"/>
          <w:rtl/>
        </w:rPr>
        <w:t>מן הכלל אל הפרט:</w:t>
      </w:r>
    </w:p>
    <w:p w:rsidR="0078256A" w:rsidRPr="0078256A" w:rsidRDefault="0078256A" w:rsidP="0078256A">
      <w:pPr>
        <w:numPr>
          <w:ilvl w:val="0"/>
          <w:numId w:val="1"/>
        </w:numPr>
        <w:spacing w:before="240" w:after="240" w:line="360" w:lineRule="auto"/>
        <w:contextualSpacing/>
        <w:jc w:val="both"/>
        <w:rPr>
          <w:rFonts w:ascii="David" w:eastAsia="Calibri" w:hAnsi="David"/>
          <w:noProof w:val="0"/>
          <w:rtl/>
        </w:rPr>
      </w:pPr>
      <w:r w:rsidRPr="0078256A">
        <w:rPr>
          <w:rFonts w:ascii="David" w:hAnsi="David"/>
          <w:noProof w:val="0"/>
          <w:spacing w:val="10"/>
          <w:rtl/>
        </w:rPr>
        <w:t xml:space="preserve">במקרה דנן , לאחר ששקלתי כלל טענות הצדדים, ועיינתי בכל החומר המצוי בתיק, הגעתי למסקנה כי יש </w:t>
      </w:r>
      <w:r w:rsidRPr="0078256A">
        <w:rPr>
          <w:rFonts w:ascii="David" w:eastAsia="Calibri" w:hAnsi="David"/>
          <w:noProof w:val="0"/>
          <w:rtl/>
        </w:rPr>
        <w:t>לדחות את התביעה האב להפחתת מזונות הקטינות להלן יפורטו טעמי.</w:t>
      </w:r>
    </w:p>
    <w:p w:rsidR="0078256A" w:rsidRPr="0078256A" w:rsidRDefault="0078256A" w:rsidP="0078256A">
      <w:pPr>
        <w:spacing w:before="240" w:after="240" w:line="360" w:lineRule="auto"/>
        <w:ind w:left="720"/>
        <w:contextualSpacing/>
        <w:jc w:val="both"/>
        <w:rPr>
          <w:rFonts w:ascii="David" w:eastAsia="Calibri" w:hAnsi="David"/>
          <w:noProof w:val="0"/>
        </w:rPr>
      </w:pPr>
    </w:p>
    <w:p w:rsidR="007948EB" w:rsidRDefault="007948EB" w:rsidP="007948EB">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א</w:t>
      </w:r>
      <w:r w:rsidR="006B48FE">
        <w:rPr>
          <w:rFonts w:ascii="David" w:eastAsia="Calibri" w:hAnsi="David" w:hint="cs"/>
          <w:noProof w:val="0"/>
          <w:rtl/>
        </w:rPr>
        <w:t>ינני סבור כי עלה בידי התובע לעמוד בנטל הנדרש</w:t>
      </w:r>
      <w:r w:rsidR="004A1CB2">
        <w:rPr>
          <w:rFonts w:ascii="David" w:eastAsia="Calibri" w:hAnsi="David" w:hint="cs"/>
          <w:noProof w:val="0"/>
          <w:rtl/>
        </w:rPr>
        <w:t xml:space="preserve">, ולא שוכנעתי כי מאז ניתן פסק הדין, חל שינוי נסיבות כלשהו, לבטח שלא שינוי מהותי כנדרש בהתאם לפסיקה.  </w:t>
      </w:r>
    </w:p>
    <w:p w:rsidR="007948EB" w:rsidRDefault="007948EB" w:rsidP="007948EB">
      <w:pPr>
        <w:pStyle w:val="ad"/>
        <w:rPr>
          <w:rFonts w:ascii="David" w:eastAsia="Calibri" w:hAnsi="David"/>
          <w:noProof w:val="0"/>
          <w:rtl/>
        </w:rPr>
      </w:pPr>
    </w:p>
    <w:p w:rsidR="007732CB" w:rsidRPr="007732CB" w:rsidRDefault="007948EB" w:rsidP="007732CB">
      <w:pPr>
        <w:numPr>
          <w:ilvl w:val="0"/>
          <w:numId w:val="1"/>
        </w:numPr>
        <w:spacing w:before="240" w:after="240" w:line="360" w:lineRule="auto"/>
        <w:contextualSpacing/>
        <w:jc w:val="both"/>
        <w:rPr>
          <w:rFonts w:ascii="David" w:eastAsia="Calibri" w:hAnsi="David"/>
          <w:noProof w:val="0"/>
        </w:rPr>
      </w:pPr>
      <w:r w:rsidRPr="002F18BD">
        <w:rPr>
          <w:rFonts w:ascii="David" w:eastAsia="Calibri" w:hAnsi="David" w:hint="cs"/>
          <w:noProof w:val="0"/>
          <w:rtl/>
        </w:rPr>
        <w:lastRenderedPageBreak/>
        <w:t xml:space="preserve">האזנתי לעדותו של התובע, ואינני מקבל את טענותיו.  </w:t>
      </w:r>
      <w:r w:rsidR="004A1CB2" w:rsidRPr="002F18BD">
        <w:rPr>
          <w:rFonts w:ascii="David" w:eastAsia="Calibri" w:hAnsi="David" w:hint="cs"/>
          <w:noProof w:val="0"/>
          <w:rtl/>
        </w:rPr>
        <w:t xml:space="preserve">התובע העיד כי הוא עובד אצל אחותו, נשאל מדוע חלה הפחתה בשכרו ולא ידע לתת תשובה [עמ' 2 ש' 3]. </w:t>
      </w:r>
      <w:r w:rsidRPr="002F18BD">
        <w:rPr>
          <w:rFonts w:ascii="David" w:eastAsia="Calibri" w:hAnsi="David" w:hint="cs"/>
          <w:noProof w:val="0"/>
          <w:rtl/>
        </w:rPr>
        <w:t xml:space="preserve">התובע נשאלה אודות רכיבים שונים בשכרו כדוגמת דמי הבראה, הפרשות לפנסיה, אחוז המשרה בה הוא עובד וכו', ותשובותיו מתחמקות ואינן ברורות. [עמ' 3 ש' 1].  </w:t>
      </w:r>
      <w:r w:rsidR="00C22749">
        <w:rPr>
          <w:rFonts w:ascii="David" w:eastAsia="Calibri" w:hAnsi="David" w:hint="cs"/>
          <w:noProof w:val="0"/>
          <w:rtl/>
        </w:rPr>
        <w:t xml:space="preserve">התובע הודה כי בחודשי הקיץ אינו עובד, ולא ברור כלל מדוע אין הוא מוצא לעצמו עבודה נוספת, על מנת לפרנס את בנותיו [עמ' 14 ש' 9].  </w:t>
      </w:r>
      <w:r w:rsidRPr="00C22749">
        <w:rPr>
          <w:rFonts w:ascii="David" w:eastAsia="Calibri" w:hAnsi="David" w:hint="cs"/>
          <w:noProof w:val="0"/>
          <w:rtl/>
        </w:rPr>
        <w:t xml:space="preserve">המסקנה המתקבלת היא שהתובע, שכאמור עובד אצל אחותו,  אינו מגלה את כל הדרוש, ולא שוכנעתי כי חל כל שינוי  בשכרו, לבטח שלא הפחתה כנטען. </w:t>
      </w:r>
      <w:r w:rsidR="00E560F9" w:rsidRPr="00C22749">
        <w:rPr>
          <w:rFonts w:ascii="David" w:eastAsia="Calibri" w:hAnsi="David" w:hint="cs"/>
          <w:noProof w:val="0"/>
          <w:rtl/>
        </w:rPr>
        <w:t xml:space="preserve"> התובע נשאל ישירות אודות שינוי הנסיבות הנטען, ותשובתו מתחמקת, מעורפלת ואינה מתקבלת [עמ' 8 ש' 1]</w:t>
      </w:r>
      <w:r w:rsidR="00B53125" w:rsidRPr="00C22749">
        <w:rPr>
          <w:rFonts w:ascii="David" w:eastAsia="Calibri" w:hAnsi="David" w:hint="cs"/>
          <w:noProof w:val="0"/>
          <w:rtl/>
        </w:rPr>
        <w:t>. חלק גדול מהשאלות נענה ב"לא זוכר", וכידוע, אין מדובר בתשובה אשר יכולה להתקבל, בפרט מקום אשר צפוי כי התובע ידע לתת תשובות [עמ' 9 ש' 5].</w:t>
      </w:r>
      <w:r w:rsidR="00C22749" w:rsidRPr="00C22749">
        <w:rPr>
          <w:rFonts w:ascii="David" w:eastAsia="Calibri" w:hAnsi="David" w:hint="cs"/>
          <w:noProof w:val="0"/>
          <w:rtl/>
        </w:rPr>
        <w:t xml:space="preserve"> לדברי התובע, הוא מתנהל מחשבונה של אחותו, ומעביר מחשבון זה כספים לנתבעת  [עמ' 10 ש' 21].</w:t>
      </w:r>
      <w:r w:rsidR="007732CB">
        <w:rPr>
          <w:rFonts w:ascii="David" w:eastAsia="Calibri" w:hAnsi="David" w:hint="cs"/>
          <w:noProof w:val="0"/>
          <w:rtl/>
        </w:rPr>
        <w:t xml:space="preserve"> </w:t>
      </w:r>
      <w:r w:rsidR="007732CB" w:rsidRPr="007732CB">
        <w:rPr>
          <w:rFonts w:ascii="David" w:eastAsia="Calibri" w:hAnsi="David" w:hint="cs"/>
          <w:noProof w:val="0"/>
          <w:rtl/>
        </w:rPr>
        <w:t xml:space="preserve">אינני מקבל את טענת התובע בעניין מצבה הכלכלי של הנתבעת. מחקירתו של התובע עולה כי הוא צירף לתיק הנספחים תמונות של בית, אשר לטענתו מתגוררת בו הנתבעת, וזאת ללא כל ביסוס וראיה [עמ' 7 ש' 12]. </w:t>
      </w:r>
    </w:p>
    <w:p w:rsidR="002F18BD" w:rsidRPr="002F18BD" w:rsidRDefault="002F18BD" w:rsidP="002F18BD">
      <w:pPr>
        <w:spacing w:before="240" w:after="240" w:line="360" w:lineRule="auto"/>
        <w:ind w:left="720"/>
        <w:contextualSpacing/>
        <w:jc w:val="both"/>
        <w:rPr>
          <w:rFonts w:ascii="David" w:eastAsia="Calibri" w:hAnsi="David"/>
          <w:noProof w:val="0"/>
          <w:rtl/>
        </w:rPr>
      </w:pPr>
    </w:p>
    <w:p w:rsidR="002F18BD" w:rsidRDefault="002F18BD" w:rsidP="0078256A">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אין כל ספק כי הנתק הקיים בין התובע לבנותיו, מעבר לנזק הכבד שהוא גורם לבנות, מטיל נטל כלכלי כבד ביותר על הנתבעת, אשר נאלצת להתמודד לבדה עם מלוא נטל גידול הבנות.  אינני מקבל את עמדת התובע בעניין הסיבות לנתק, ולהתרשמותי,  נגרם הנתק בעיקר עקב התנהגותו של התובע.  התובע צירף לתביעתו תמונות של ילדים, אך לא ידע כלל להצביע על זהותן של בנותיו [עמ' 7 ש' 2].</w:t>
      </w:r>
    </w:p>
    <w:p w:rsidR="00C22749" w:rsidRDefault="00C22749" w:rsidP="00C22749">
      <w:pPr>
        <w:pStyle w:val="ad"/>
        <w:rPr>
          <w:rFonts w:ascii="David" w:eastAsia="Calibri" w:hAnsi="David"/>
          <w:noProof w:val="0"/>
          <w:rtl/>
        </w:rPr>
      </w:pPr>
    </w:p>
    <w:p w:rsidR="005D0192" w:rsidRDefault="00C22749" w:rsidP="00385B43">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האזנתי לחקירת אחותו של התובע, ואינני מקבל את גרסתה. גם האחות, כמו התובע, נשאלה על תלו</w:t>
      </w:r>
      <w:r w:rsidR="007732CB">
        <w:rPr>
          <w:rFonts w:ascii="David" w:eastAsia="Calibri" w:hAnsi="David" w:hint="cs"/>
          <w:noProof w:val="0"/>
          <w:rtl/>
        </w:rPr>
        <w:t>ש</w:t>
      </w:r>
      <w:r>
        <w:rPr>
          <w:rFonts w:ascii="David" w:eastAsia="Calibri" w:hAnsi="David" w:hint="cs"/>
          <w:noProof w:val="0"/>
          <w:rtl/>
        </w:rPr>
        <w:t xml:space="preserve">י השכר החלקיים והחסרים, וגם היא לא ידעה לתת תשובות </w:t>
      </w:r>
      <w:r w:rsidR="00385B43">
        <w:rPr>
          <w:rFonts w:ascii="David" w:eastAsia="Calibri" w:hAnsi="David" w:hint="cs"/>
          <w:noProof w:val="0"/>
          <w:rtl/>
        </w:rPr>
        <w:t>והפנתה לרו"ח ולבעלה  [שלא זומנו לעדות]. [עמ' 17 ש' 5</w:t>
      </w:r>
      <w:r w:rsidR="001E01E1">
        <w:rPr>
          <w:rFonts w:ascii="David" w:eastAsia="Calibri" w:hAnsi="David" w:hint="cs"/>
          <w:noProof w:val="0"/>
          <w:rtl/>
        </w:rPr>
        <w:t xml:space="preserve"> עמ' 22 ש' 6</w:t>
      </w:r>
      <w:r w:rsidR="00385B43">
        <w:rPr>
          <w:rFonts w:ascii="David" w:eastAsia="Calibri" w:hAnsi="David" w:hint="cs"/>
          <w:noProof w:val="0"/>
          <w:rtl/>
        </w:rPr>
        <w:t>].</w:t>
      </w:r>
      <w:r w:rsidR="001E01E1">
        <w:rPr>
          <w:rFonts w:ascii="David" w:eastAsia="Calibri" w:hAnsi="David" w:hint="cs"/>
          <w:noProof w:val="0"/>
          <w:rtl/>
        </w:rPr>
        <w:t xml:space="preserve">  האחות נשאלה האם משכורתו של התובעת מופקדת לחשבון הבנק שלו והשיבה בשלילה. לדבריה, שכרו מועבר אליו במזומן [עמ' 23 ש' 11]. </w:t>
      </w:r>
      <w:r w:rsidR="007732CB">
        <w:rPr>
          <w:rFonts w:ascii="David" w:eastAsia="Calibri" w:hAnsi="David" w:hint="cs"/>
          <w:noProof w:val="0"/>
          <w:rtl/>
        </w:rPr>
        <w:t xml:space="preserve"> </w:t>
      </w:r>
    </w:p>
    <w:p w:rsidR="005D0192" w:rsidRDefault="005D0192" w:rsidP="005D0192">
      <w:pPr>
        <w:pStyle w:val="ad"/>
        <w:rPr>
          <w:rFonts w:ascii="David" w:eastAsia="Calibri" w:hAnsi="David"/>
          <w:noProof w:val="0"/>
          <w:rtl/>
        </w:rPr>
      </w:pPr>
    </w:p>
    <w:p w:rsidR="00C22749" w:rsidRDefault="005D0192" w:rsidP="00BF64F3">
      <w:pPr>
        <w:numPr>
          <w:ilvl w:val="0"/>
          <w:numId w:val="1"/>
        </w:numPr>
        <w:spacing w:before="240" w:after="240" w:line="360" w:lineRule="auto"/>
        <w:contextualSpacing/>
        <w:jc w:val="both"/>
        <w:rPr>
          <w:rFonts w:ascii="David" w:eastAsia="Calibri" w:hAnsi="David"/>
          <w:noProof w:val="0"/>
        </w:rPr>
      </w:pPr>
      <w:r>
        <w:rPr>
          <w:rFonts w:ascii="David" w:eastAsia="Calibri" w:hAnsi="David" w:hint="cs"/>
          <w:noProof w:val="0"/>
          <w:rtl/>
        </w:rPr>
        <w:t>האזנתי לחקירתה של הנתבעת ואני מעדיף את עדותה על פני עדותו של התובע. הנתבעת נשאלה שאלות כלליות אודות מצבה הכלכלי ומצבו של בעלה</w:t>
      </w:r>
      <w:r w:rsidR="00BF64F3">
        <w:rPr>
          <w:rFonts w:ascii="David" w:eastAsia="Calibri" w:hAnsi="David" w:hint="cs"/>
          <w:noProof w:val="0"/>
          <w:rtl/>
        </w:rPr>
        <w:t xml:space="preserve">.   </w:t>
      </w:r>
      <w:r>
        <w:rPr>
          <w:rFonts w:ascii="David" w:eastAsia="Calibri" w:hAnsi="David" w:hint="cs"/>
          <w:noProof w:val="0"/>
          <w:rtl/>
        </w:rPr>
        <w:t xml:space="preserve">אינני סבור כי  עלה בידי התובע להוכיח את המצב הכלכלי הנטען, או כי חל שינוי במצבה מאז ניתן פסק הדין, מה גם שכאמור לעיל, לא שוכנעתי כי חל כל שינוי לרעה במצבו </w:t>
      </w:r>
      <w:r w:rsidR="00385B43">
        <w:rPr>
          <w:rFonts w:ascii="David" w:eastAsia="Calibri" w:hAnsi="David" w:hint="cs"/>
          <w:noProof w:val="0"/>
          <w:rtl/>
        </w:rPr>
        <w:t xml:space="preserve"> </w:t>
      </w:r>
      <w:r>
        <w:rPr>
          <w:rFonts w:ascii="David" w:eastAsia="Calibri" w:hAnsi="David" w:hint="cs"/>
          <w:noProof w:val="0"/>
          <w:rtl/>
        </w:rPr>
        <w:t>[עמ' 31 ש' 24].</w:t>
      </w:r>
      <w:r w:rsidR="00E47305">
        <w:rPr>
          <w:rFonts w:ascii="David" w:eastAsia="Calibri" w:hAnsi="David" w:hint="cs"/>
          <w:noProof w:val="0"/>
          <w:rtl/>
        </w:rPr>
        <w:t xml:space="preserve">  הנתבעת נשאלה אודות אפשרות חידוש הקשר, ואני מקבל את עדותה [עמ' 33 38].</w:t>
      </w:r>
    </w:p>
    <w:p w:rsidR="0078256A" w:rsidRDefault="0078256A" w:rsidP="00E47305">
      <w:pPr>
        <w:spacing w:before="240" w:after="240" w:line="360" w:lineRule="auto"/>
        <w:ind w:left="360"/>
        <w:contextualSpacing/>
        <w:jc w:val="both"/>
        <w:rPr>
          <w:rFonts w:ascii="David" w:hAnsi="David"/>
          <w:noProof w:val="0"/>
          <w:spacing w:val="10"/>
          <w:rtl/>
        </w:rPr>
      </w:pPr>
    </w:p>
    <w:p w:rsidR="00E47305" w:rsidRPr="00E47305" w:rsidRDefault="00E47305" w:rsidP="00E47305">
      <w:pPr>
        <w:spacing w:before="240" w:after="240" w:line="360" w:lineRule="auto"/>
        <w:contextualSpacing/>
        <w:jc w:val="both"/>
        <w:rPr>
          <w:rFonts w:ascii="David" w:hAnsi="David"/>
          <w:b/>
          <w:bCs/>
          <w:noProof w:val="0"/>
          <w:spacing w:val="10"/>
          <w:u w:val="single"/>
        </w:rPr>
      </w:pPr>
      <w:r w:rsidRPr="00E47305">
        <w:rPr>
          <w:rFonts w:ascii="David" w:hAnsi="David" w:hint="cs"/>
          <w:b/>
          <w:bCs/>
          <w:noProof w:val="0"/>
          <w:spacing w:val="10"/>
          <w:u w:val="single"/>
          <w:rtl/>
        </w:rPr>
        <w:t>סיכום ותוצאה:</w:t>
      </w:r>
    </w:p>
    <w:p w:rsidR="0078256A" w:rsidRPr="0078256A" w:rsidRDefault="0078256A" w:rsidP="0078256A">
      <w:pPr>
        <w:spacing w:before="240" w:after="240" w:line="360" w:lineRule="auto"/>
        <w:ind w:left="720"/>
        <w:contextualSpacing/>
        <w:jc w:val="both"/>
        <w:rPr>
          <w:rFonts w:ascii="David" w:hAnsi="David"/>
          <w:noProof w:val="0"/>
          <w:spacing w:val="10"/>
        </w:rPr>
      </w:pPr>
    </w:p>
    <w:p w:rsidR="00E47305" w:rsidRDefault="00E47305" w:rsidP="00E47305">
      <w:pPr>
        <w:numPr>
          <w:ilvl w:val="0"/>
          <w:numId w:val="1"/>
        </w:numPr>
        <w:spacing w:before="240" w:after="240" w:line="360" w:lineRule="auto"/>
        <w:contextualSpacing/>
        <w:jc w:val="both"/>
        <w:rPr>
          <w:rFonts w:ascii="David" w:hAnsi="David"/>
          <w:noProof w:val="0"/>
        </w:rPr>
      </w:pPr>
      <w:r>
        <w:rPr>
          <w:rFonts w:ascii="David" w:eastAsia="Calibri" w:hAnsi="David" w:hint="cs"/>
          <w:noProof w:val="0"/>
          <w:rtl/>
        </w:rPr>
        <w:t>ה</w:t>
      </w:r>
      <w:r w:rsidR="0078256A" w:rsidRPr="0078256A">
        <w:rPr>
          <w:rFonts w:ascii="David" w:eastAsia="Calibri" w:hAnsi="David"/>
          <w:noProof w:val="0"/>
          <w:rtl/>
        </w:rPr>
        <w:t>תביעה נדח</w:t>
      </w:r>
      <w:r>
        <w:rPr>
          <w:rFonts w:ascii="David" w:eastAsia="Calibri" w:hAnsi="David" w:hint="cs"/>
          <w:noProof w:val="0"/>
          <w:rtl/>
        </w:rPr>
        <w:t>י</w:t>
      </w:r>
      <w:r w:rsidR="0078256A" w:rsidRPr="0078256A">
        <w:rPr>
          <w:rFonts w:ascii="David" w:eastAsia="Calibri" w:hAnsi="David"/>
          <w:noProof w:val="0"/>
          <w:rtl/>
        </w:rPr>
        <w:t>ת</w:t>
      </w:r>
      <w:r>
        <w:rPr>
          <w:rFonts w:ascii="David" w:eastAsia="Calibri" w:hAnsi="David" w:hint="cs"/>
          <w:noProof w:val="0"/>
          <w:rtl/>
        </w:rPr>
        <w:t>.</w:t>
      </w:r>
    </w:p>
    <w:p w:rsidR="00E47305" w:rsidRPr="00E47305" w:rsidRDefault="00E47305" w:rsidP="00E47305">
      <w:pPr>
        <w:spacing w:before="240" w:after="240" w:line="360" w:lineRule="auto"/>
        <w:ind w:left="720"/>
        <w:contextualSpacing/>
        <w:jc w:val="both"/>
        <w:rPr>
          <w:rFonts w:ascii="David" w:hAnsi="David"/>
          <w:noProof w:val="0"/>
        </w:rPr>
      </w:pPr>
    </w:p>
    <w:p w:rsidR="00E47305" w:rsidRDefault="00E47305" w:rsidP="00E47305">
      <w:pPr>
        <w:numPr>
          <w:ilvl w:val="0"/>
          <w:numId w:val="1"/>
        </w:numPr>
        <w:spacing w:before="240" w:after="240" w:line="360" w:lineRule="auto"/>
        <w:contextualSpacing/>
        <w:jc w:val="both"/>
        <w:rPr>
          <w:rFonts w:ascii="David" w:hAnsi="David"/>
          <w:noProof w:val="0"/>
        </w:rPr>
      </w:pPr>
      <w:r>
        <w:rPr>
          <w:rFonts w:ascii="David" w:hAnsi="David" w:hint="cs"/>
          <w:noProof w:val="0"/>
          <w:rtl/>
        </w:rPr>
        <w:t>התובע ישלם לנתבעת הוצאות משפט ושכ"ט עו"ד בסך של 17,500 ₪.</w:t>
      </w:r>
    </w:p>
    <w:p w:rsidR="00E47305" w:rsidRDefault="00E47305" w:rsidP="00E47305">
      <w:pPr>
        <w:pStyle w:val="ad"/>
        <w:rPr>
          <w:rFonts w:ascii="David" w:hAnsi="David"/>
          <w:noProof w:val="0"/>
          <w:rtl/>
        </w:rPr>
      </w:pPr>
    </w:p>
    <w:p w:rsidR="00E47305" w:rsidRDefault="00E47305" w:rsidP="00E47305">
      <w:pPr>
        <w:numPr>
          <w:ilvl w:val="0"/>
          <w:numId w:val="1"/>
        </w:numPr>
        <w:spacing w:before="240" w:after="240" w:line="360" w:lineRule="auto"/>
        <w:contextualSpacing/>
        <w:jc w:val="both"/>
        <w:rPr>
          <w:rFonts w:ascii="David" w:hAnsi="David"/>
          <w:noProof w:val="0"/>
        </w:rPr>
      </w:pPr>
      <w:r>
        <w:rPr>
          <w:rFonts w:ascii="David" w:hAnsi="David" w:hint="cs"/>
          <w:noProof w:val="0"/>
          <w:rtl/>
        </w:rPr>
        <w:t>זכות ערעור כחוק.</w:t>
      </w:r>
    </w:p>
    <w:p w:rsidR="00E47305" w:rsidRDefault="00E47305" w:rsidP="00E47305">
      <w:pPr>
        <w:spacing w:before="240" w:after="240" w:line="360" w:lineRule="auto"/>
        <w:contextualSpacing/>
        <w:jc w:val="both"/>
        <w:rPr>
          <w:rFonts w:ascii="David" w:hAnsi="David"/>
          <w:noProof w:val="0"/>
          <w:rtl/>
        </w:rPr>
      </w:pPr>
    </w:p>
    <w:p w:rsidR="00694556" w:rsidRPr="00E47305" w:rsidRDefault="00E47305" w:rsidP="00E47305">
      <w:pPr>
        <w:spacing w:before="240" w:after="240" w:line="360" w:lineRule="auto"/>
        <w:contextualSpacing/>
        <w:jc w:val="both"/>
        <w:rPr>
          <w:rFonts w:ascii="Arial" w:hAnsi="Arial"/>
          <w:noProof w:val="0"/>
          <w:rtl/>
        </w:rPr>
      </w:pPr>
      <w:r w:rsidRPr="00E47305">
        <w:rPr>
          <w:rFonts w:ascii="David" w:hAnsi="David" w:hint="cs"/>
          <w:noProof w:val="0"/>
          <w:rtl/>
        </w:rPr>
        <w:t>המזכירות תמציא לצדדים ותסגור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15FFA" w:rsidP="00633C4F">
      <w:pPr>
        <w:spacing w:line="360" w:lineRule="auto"/>
        <w:ind w:left="3600" w:firstLine="720"/>
      </w:pPr>
      <w:sdt>
        <w:sdtPr>
          <w:rPr>
            <w:rtl/>
          </w:rPr>
          <w:alias w:val="MergeField"/>
          <w:tag w:val="1237"/>
          <w:id w:val="523595862"/>
        </w:sdtPr>
        <w:sdtEndPr/>
        <w:sdtContent>
          <w:r w:rsidR="00C20591">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1"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42"/>
      <w:headerReference w:type="default" r:id="rId43"/>
      <w:footerReference w:type="even" r:id="rId44"/>
      <w:footerReference w:type="default" r:id="rId45"/>
      <w:headerReference w:type="first" r:id="rId46"/>
      <w:footerReference w:type="first" r:id="rId4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FFA" w:rsidRDefault="00E15FFA">
      <w:r>
        <w:separator/>
      </w:r>
    </w:p>
  </w:endnote>
  <w:endnote w:type="continuationSeparator" w:id="0">
    <w:p w:rsidR="00E15FFA" w:rsidRDefault="00E1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4B" w:rsidRDefault="00895D4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5D4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5D4B">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4B" w:rsidRDefault="00895D4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FFA" w:rsidRDefault="00E15FFA">
      <w:r>
        <w:separator/>
      </w:r>
    </w:p>
  </w:footnote>
  <w:footnote w:type="continuationSeparator" w:id="0">
    <w:p w:rsidR="00E15FFA" w:rsidRDefault="00E1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4B" w:rsidRDefault="00895D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15FFA" w:rsidP="00A36FE2">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תלה"מ</w:t>
              </w:r>
            </w:sdtContent>
          </w:sdt>
          <w:r w:rsidR="00005C8B">
            <w:rPr>
              <w:b/>
              <w:bCs/>
              <w:noProof w:val="0"/>
              <w:sz w:val="26"/>
              <w:szCs w:val="26"/>
              <w:rtl/>
            </w:rPr>
            <w:t xml:space="preserve"> </w:t>
          </w:r>
          <w:bookmarkStart w:id="10" w:name="_GoBack"/>
          <w:sdt>
            <w:sdtPr>
              <w:rPr>
                <w:b/>
                <w:bCs/>
                <w:noProof w:val="0"/>
                <w:sz w:val="26"/>
                <w:szCs w:val="26"/>
                <w:rtl/>
              </w:rPr>
              <w:alias w:val="1171"/>
              <w:tag w:val="1171"/>
              <w:id w:val="81650337"/>
              <w:text w:multiLine="1"/>
            </w:sdtPr>
            <w:sdtEndPr/>
            <w:sdtContent>
              <w:r w:rsidR="00D855A1">
                <w:rPr>
                  <w:b/>
                  <w:bCs/>
                  <w:noProof w:val="0"/>
                  <w:sz w:val="26"/>
                  <w:szCs w:val="26"/>
                  <w:rtl/>
                </w:rPr>
                <w:t>43454-06-21</w:t>
              </w:r>
            </w:sdtContent>
          </w:sdt>
          <w:bookmarkEnd w:id="1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36FE2">
                <w:rPr>
                  <w:rFonts w:hint="cs"/>
                  <w:b/>
                  <w:bCs/>
                  <w:noProof w:val="0"/>
                  <w:sz w:val="26"/>
                  <w:szCs w:val="26"/>
                  <w:rtl/>
                </w:rPr>
                <w:t>פלוני</w:t>
              </w:r>
              <w:r w:rsidR="00A36FE2">
                <w:rPr>
                  <w:b/>
                  <w:bCs/>
                  <w:noProof w:val="0"/>
                  <w:sz w:val="26"/>
                  <w:szCs w:val="26"/>
                  <w:rtl/>
                </w:rPr>
                <w:t xml:space="preserve"> נ' אל</w:t>
              </w:r>
              <w:r w:rsidR="00A36FE2">
                <w:rPr>
                  <w:rFonts w:hint="cs"/>
                  <w:b/>
                  <w:bCs/>
                  <w:noProof w:val="0"/>
                  <w:sz w:val="26"/>
                  <w:szCs w:val="26"/>
                  <w:rtl/>
                </w:rPr>
                <w:t>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4B" w:rsidRDefault="00895D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15FBD"/>
    <w:multiLevelType w:val="hybridMultilevel"/>
    <w:tmpl w:val="EE1EA5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0F5E16"/>
    <w:rsid w:val="001072A9"/>
    <w:rsid w:val="00121F97"/>
    <w:rsid w:val="001277D7"/>
    <w:rsid w:val="00132017"/>
    <w:rsid w:val="0014234E"/>
    <w:rsid w:val="00145A87"/>
    <w:rsid w:val="00185FA6"/>
    <w:rsid w:val="001C0A50"/>
    <w:rsid w:val="001C4003"/>
    <w:rsid w:val="001E01E1"/>
    <w:rsid w:val="001F5474"/>
    <w:rsid w:val="002352F7"/>
    <w:rsid w:val="002626C6"/>
    <w:rsid w:val="0027277D"/>
    <w:rsid w:val="00290DE4"/>
    <w:rsid w:val="002B618B"/>
    <w:rsid w:val="002E761A"/>
    <w:rsid w:val="002F18BD"/>
    <w:rsid w:val="00322AAB"/>
    <w:rsid w:val="00381D3A"/>
    <w:rsid w:val="003823DA"/>
    <w:rsid w:val="00385B43"/>
    <w:rsid w:val="00410C8C"/>
    <w:rsid w:val="0043595F"/>
    <w:rsid w:val="0047645A"/>
    <w:rsid w:val="004A1CB2"/>
    <w:rsid w:val="004D49A3"/>
    <w:rsid w:val="004D50AC"/>
    <w:rsid w:val="004E6E3C"/>
    <w:rsid w:val="005124F1"/>
    <w:rsid w:val="00530BAD"/>
    <w:rsid w:val="0053499F"/>
    <w:rsid w:val="00541598"/>
    <w:rsid w:val="00547DB7"/>
    <w:rsid w:val="00567324"/>
    <w:rsid w:val="005947BD"/>
    <w:rsid w:val="005B0F49"/>
    <w:rsid w:val="005C7EC6"/>
    <w:rsid w:val="005D0192"/>
    <w:rsid w:val="005D4BDB"/>
    <w:rsid w:val="00622BAA"/>
    <w:rsid w:val="00625C89"/>
    <w:rsid w:val="00633C4F"/>
    <w:rsid w:val="00671BD5"/>
    <w:rsid w:val="006805C1"/>
    <w:rsid w:val="006816EC"/>
    <w:rsid w:val="00694556"/>
    <w:rsid w:val="006B48FE"/>
    <w:rsid w:val="006E1A53"/>
    <w:rsid w:val="007056AA"/>
    <w:rsid w:val="00744F41"/>
    <w:rsid w:val="00765930"/>
    <w:rsid w:val="0076736C"/>
    <w:rsid w:val="007732CB"/>
    <w:rsid w:val="0078256A"/>
    <w:rsid w:val="007948EB"/>
    <w:rsid w:val="007A24FE"/>
    <w:rsid w:val="007A35AA"/>
    <w:rsid w:val="007F1048"/>
    <w:rsid w:val="00820005"/>
    <w:rsid w:val="00846D27"/>
    <w:rsid w:val="008610A7"/>
    <w:rsid w:val="00895D4B"/>
    <w:rsid w:val="008A23FD"/>
    <w:rsid w:val="008E1332"/>
    <w:rsid w:val="00903896"/>
    <w:rsid w:val="00927813"/>
    <w:rsid w:val="00944D13"/>
    <w:rsid w:val="00957C90"/>
    <w:rsid w:val="009A397A"/>
    <w:rsid w:val="009A5776"/>
    <w:rsid w:val="009B70F6"/>
    <w:rsid w:val="009C358E"/>
    <w:rsid w:val="009E0263"/>
    <w:rsid w:val="00A267CF"/>
    <w:rsid w:val="00A36FE2"/>
    <w:rsid w:val="00A43458"/>
    <w:rsid w:val="00A43FF2"/>
    <w:rsid w:val="00AC4E19"/>
    <w:rsid w:val="00AF1ED6"/>
    <w:rsid w:val="00B32C61"/>
    <w:rsid w:val="00B368FE"/>
    <w:rsid w:val="00B53125"/>
    <w:rsid w:val="00B80CBD"/>
    <w:rsid w:val="00BA2FBA"/>
    <w:rsid w:val="00BC3369"/>
    <w:rsid w:val="00BF64F3"/>
    <w:rsid w:val="00BF77EE"/>
    <w:rsid w:val="00C20591"/>
    <w:rsid w:val="00C22749"/>
    <w:rsid w:val="00C32E0F"/>
    <w:rsid w:val="00C42BF9"/>
    <w:rsid w:val="00C83E56"/>
    <w:rsid w:val="00CC63CE"/>
    <w:rsid w:val="00D319B3"/>
    <w:rsid w:val="00D36A71"/>
    <w:rsid w:val="00D53924"/>
    <w:rsid w:val="00D60849"/>
    <w:rsid w:val="00D855A1"/>
    <w:rsid w:val="00D96D8C"/>
    <w:rsid w:val="00DA755B"/>
    <w:rsid w:val="00DD337E"/>
    <w:rsid w:val="00E00B6F"/>
    <w:rsid w:val="00E15FFA"/>
    <w:rsid w:val="00E44DDF"/>
    <w:rsid w:val="00E47305"/>
    <w:rsid w:val="00E54642"/>
    <w:rsid w:val="00E560F9"/>
    <w:rsid w:val="00E66000"/>
    <w:rsid w:val="00E97908"/>
    <w:rsid w:val="00EC1A1B"/>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A5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68577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inks/psika/?link=&#1506;&#1502;%201080/01" TargetMode="External"/><Relationship Id="rId18" Type="http://schemas.openxmlformats.org/officeDocument/2006/relationships/hyperlink" Target="http://www.nevo.co.il/case/20344803" TargetMode="External"/><Relationship Id="rId26" Type="http://schemas.openxmlformats.org/officeDocument/2006/relationships/hyperlink" Target="http://www.nevo.co.il/case/22084664" TargetMode="External"/><Relationship Id="rId39" Type="http://schemas.openxmlformats.org/officeDocument/2006/relationships/hyperlink" Target="http://www.nevo.co.il/case/23665267" TargetMode="External"/><Relationship Id="rId21" Type="http://schemas.openxmlformats.org/officeDocument/2006/relationships/hyperlink" Target="http://www.nevo.co.il/case/20033485" TargetMode="External"/><Relationship Id="rId34" Type="http://schemas.openxmlformats.org/officeDocument/2006/relationships/hyperlink" Target="http://www.nevo.co.il/case/23125007"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case/17923221" TargetMode="External"/><Relationship Id="rId29" Type="http://schemas.openxmlformats.org/officeDocument/2006/relationships/hyperlink" Target="http://www.nevo.co.il/case/20033485" TargetMode="External"/><Relationship Id="rId11" Type="http://schemas.openxmlformats.org/officeDocument/2006/relationships/hyperlink" Target="http://www.nevo.co.il/psika_word/mechozi/M-PC-3-133-L.doc" TargetMode="External"/><Relationship Id="rId24" Type="http://schemas.openxmlformats.org/officeDocument/2006/relationships/hyperlink" Target="http://www.nevo.co.il/case/20033485" TargetMode="External"/><Relationship Id="rId32" Type="http://schemas.openxmlformats.org/officeDocument/2006/relationships/hyperlink" Target="http://www.nevo.co.il/case/24154728" TargetMode="External"/><Relationship Id="rId37" Type="http://schemas.openxmlformats.org/officeDocument/2006/relationships/hyperlink" Target="http://www.nevo.co.il/case/24158772" TargetMode="External"/><Relationship Id="rId40" Type="http://schemas.openxmlformats.org/officeDocument/2006/relationships/hyperlink" Target="http://www.nevo.co.il/case/22729757"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evo.co.il/case/17920454" TargetMode="External"/><Relationship Id="rId23" Type="http://schemas.openxmlformats.org/officeDocument/2006/relationships/hyperlink" Target="http://www.nevo.co.il/case/20033485" TargetMode="External"/><Relationship Id="rId28" Type="http://schemas.openxmlformats.org/officeDocument/2006/relationships/hyperlink" Target="http://www.nevo.co.il/case/22554368" TargetMode="External"/><Relationship Id="rId36" Type="http://schemas.openxmlformats.org/officeDocument/2006/relationships/hyperlink" Target="http://www.nevo.co.il/case/23802707" TargetMode="External"/><Relationship Id="rId49" Type="http://schemas.openxmlformats.org/officeDocument/2006/relationships/glossaryDocument" Target="glossary/document.xml"/><Relationship Id="rId10" Type="http://schemas.openxmlformats.org/officeDocument/2006/relationships/hyperlink" Target="http://www.nevo.co.il/links/psika/?link=&#1506;&#1488;%20315/78&amp;Pvol=&#1500;&#1490;" TargetMode="External"/><Relationship Id="rId19" Type="http://schemas.openxmlformats.org/officeDocument/2006/relationships/hyperlink" Target="http://www.nevo.co.il/case/20344803" TargetMode="External"/><Relationship Id="rId31" Type="http://schemas.openxmlformats.org/officeDocument/2006/relationships/hyperlink" Target="http://www.nevo.co.il/case/20033485"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evo.co.il/links/psika/?link=&#1489;&#1506;&#1502;%203148/07" TargetMode="External"/><Relationship Id="rId14" Type="http://schemas.openxmlformats.org/officeDocument/2006/relationships/hyperlink" Target="http://www.nevo.co.il/links/psika/?link=&#1506;&#1488;%20472/78&amp;Pvol=&#1500;&#1491;" TargetMode="External"/><Relationship Id="rId22" Type="http://schemas.openxmlformats.org/officeDocument/2006/relationships/hyperlink" Target="http://www.nevo.co.il/case/20033485" TargetMode="External"/><Relationship Id="rId27" Type="http://schemas.openxmlformats.org/officeDocument/2006/relationships/hyperlink" Target="http://www.nevo.co.il/case/22997269" TargetMode="External"/><Relationship Id="rId30" Type="http://schemas.openxmlformats.org/officeDocument/2006/relationships/hyperlink" Target="http://www.nevo.co.il/case/22096950" TargetMode="External"/><Relationship Id="rId35" Type="http://schemas.openxmlformats.org/officeDocument/2006/relationships/hyperlink" Target="http://www.nevo.co.il/case/23124132"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nevo.co.il/links/psika/?link=&#1506;&#1488;%20442/83&amp;Pvol=&#1500;&#1495;" TargetMode="External"/><Relationship Id="rId17" Type="http://schemas.openxmlformats.org/officeDocument/2006/relationships/hyperlink" Target="http://www.nevo.co.il/case/20344803" TargetMode="External"/><Relationship Id="rId25" Type="http://schemas.openxmlformats.org/officeDocument/2006/relationships/hyperlink" Target="http://www.nevo.co.il/case/20033485" TargetMode="External"/><Relationship Id="rId33" Type="http://schemas.openxmlformats.org/officeDocument/2006/relationships/hyperlink" Target="http://www.nevo.co.il/case/20033485" TargetMode="External"/><Relationship Id="rId38" Type="http://schemas.openxmlformats.org/officeDocument/2006/relationships/hyperlink" Target="http://www.nevo.co.il/case/22091701" TargetMode="External"/><Relationship Id="rId46" Type="http://schemas.openxmlformats.org/officeDocument/2006/relationships/header" Target="header3.xml"/><Relationship Id="rId20" Type="http://schemas.openxmlformats.org/officeDocument/2006/relationships/hyperlink" Target="http://www.nevo.co.il/case/6211584" TargetMode="External"/><Relationship Id="rId41" Type="http://schemas.openxmlformats.org/officeDocument/2006/relationships/image" Target="media/image1.jpg"/><Relationship Id="rId1" Type="http://schemas.microsoft.com/office/2006/relationships/keyMapCustomizations" Target="customizations.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771945" w:rsidP="00771945">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771945" w:rsidP="00771945">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F6E80"/>
    <w:rsid w:val="0077194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2FA81-1D0C-4172-BD35-514CB3EC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3011</Words>
  <Characters>15055</Characters>
  <Application>Microsoft Office Word</Application>
  <DocSecurity>0</DocSecurity>
  <Lines>125</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2024-07-30T11:00:00Z</dcterms:created>
  <dcterms:modified xsi:type="dcterms:W3CDTF">2024-07-30T11:00:00Z</dcterms:modified>
</cp:coreProperties>
</file>